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AÇÃO RESCISÓRIA</w:t>
      </w:r>
    </w:p>
    <w:p>
      <w:r>
        <w:rPr>
          <w:i/>
          <w:iCs/>
          <w:color w:val="666666"/>
        </w:rPr>
        <w:t xml:space="preserve">OFENSA A LITERAL DISPOSIÇÃO DE LEI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09/05/1979</w:t>
      </w:r>
    </w:p>
    <w:p/>
    <w:p>
      <w:r>
        <w:t xml:space="preserve">ESTATUTÁRIO PARA CELETISTA — QUESTÃO RESULTANTE - JUSTIÇA DO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Manteve o v. acórdão sentença "a quo", que entendeu competente a Justiça do Trabalho, para dirimir conflitos de interesses entre o autor e sua empregadora, quando, o mesmo, em tempo hábil manifesta sua opção, que se opera "automaticamente" passando a empregado e para o regime da consolidação. - Os arestos apontados não contém os mesmos pressupostos fáticos inseridos na tese do v. acórdão, sendo, ainda, inexistentes as violações. - Não conheço. Proc. TST-RR-4.472/78, Julgado em 10-05-1979 VENCIDO O MINISTRO WASHINGTON TRINDADE EMENTÁRIO FORENSE. Novembro, 1979. Ano XXXI. Nº 372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justiça do Trabalho é competente para apreciar e julgar questão atinente a opção do trabalhador que transpondo do regime estatutário para o celetista, executa a faculdade de opção em tempo hábil.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2026-10-16T15:03:57.982Z</dcterms:created>
  <dcterms:modified xsi:type="dcterms:W3CDTF">2026-10-16T15:03:57.982Z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