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19/04/1979</w:t>
      </w:r>
    </w:p>
    <w:p/>
    <w:p>
      <w:r>
        <w:t xml:space="preserve">SUSPENSÃO E INTERRUPÇÃO PARA INTERPOSIÇÃO DE OUTROS RECURSOS — QUAL A QUE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Egrégia Turma, mantendo a decisão regional, decidiu rejeitar a preliminar de intempestividade do recurso ordinário do Banco, por entender que uma vez acolhidos os embargos declaratórios, o prazo recursal deve ser devolvido por inteiro. No mérito, aplicou o Prejulgado 46 (*) combinado com o artigo 22, § 2º, da C.L.T., para o fim de julgar indevido pagamento de eventuais horas extraordinárias, tendo em vista que o Reclamante exercia as funções de gerente. - ................................ DO VOTO - ... Os embargos declaratórios suspendem e não interrompem o prazo recursal porque é a lei que assim o determina (artigo 538 do Código de Processo Civil). A distinção entre estes efeitos, como ensina SÉRGIO BERMUDES, (in "Comentários", Rev. dos Tribs. volume 7, página 98) é que na suspensão o prazo é sustado, sem prejuízo do lapso já decorrido, enquanto na interrupção, dá-se a sustação com reinício da contagem do prazo por inteiro. Como a lei é expressa em dispor que a interposição de embargos declaratórios suspende o prazo para qualquer outro recurso, é evidente a vulneração na interpretação que deduz que os embargos, por haverem sido acolhidos, ensejam interrupção. - Assim, acolho os embargos para declarar que a sentença da MM. Junta fez coisa julgada. Proc. TST-E-RR-3.309/77, Julgado em 20-04-1979 VENCIDOS OS MINISTROS FERNANDO FRANCO e EXPEDITO AMORIM Arquivo do Ementário Forense, TST/832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538 do Código de Processo Civil não distingue entre a rejeição e o acolhimento dos embargos declaratórios, diz expressamente que a sua interposição suspende o prazo recursal, isto é, o prazo e sustado sem prejuízo do lapso já decorrido. (SÉRGIO BERMUDES)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2026-10-16T15:03:58.259Z</dcterms:created>
  <dcterms:modified xsi:type="dcterms:W3CDTF">2026-10-16T15:03:58.259Z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