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Recurso: </w:t>
      </w:r>
      <w:r>
        <w:t xml:space="preserve">RE 134.300</w:t>
      </w:r>
    </w:p>
    <w:p/>
    <w:p>
      <w:r>
        <w:t xml:space="preserve">COMPETÊNCIA DO MINISTÉRIO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Até que lei venha a dispor a respeito, incumbe ao Ministério do Trabalho proceder ao registro das entidades sindicais e zelar pela observância do princípio da unicidade. Legislação: - CF, art. 8º, I e II Julgados: MI 144, SP, Plenário, 3.8.92, DJU de 28.5.93, RTJ 147/869 MI 388, NS, Plenário, 24.6.93, DJU de 27.5.94, Lex 190/151 RE 134.300, SP, 1ª T, 16.8.94, DJU de 14.10.94, Lex 194/112 ADIn 1.121, CM, Plenário, 6.9.95, DJU de 6.10.95 RE 146.822, PB, 2ª T, 14.12.93, DJU de 15.4.94 RE (AgRg-EDiv) 146.822, MA, Plenário, 30.10.95, DJU de 23.8.96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2026-07-27T23:01:09.501Z</dcterms:created>
  <dcterms:modified xsi:type="dcterms:W3CDTF">2026-07-27T23:01:09.501Z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