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Recurso: </w:t>
      </w:r>
      <w:r>
        <w:t xml:space="preserve">RE 134.300</w:t>
      </w:r>
    </w:p>
    <w:p/>
    <w:p>
      <w:r>
        <w:t xml:space="preserve">COMPETÊNCIA DO MINISTÉRIO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que lei venha a dispor a respeito, incumbe ao Ministério do Trabalho proceder ao registro das entidades sindicais e zelar pela observância do princípio da unicidade. Legislação: - CF, art. 8º, I e II Julgados: MI 144, SP, Plenário, 3.8.92, DJU de 28.5.93, RTJ 147/869 MI 388, NS, Plenário, 24.6.93, DJU de 27.5.94, Lex 190/151 RE 134.300, SP, 1ª T, 16.8.94, DJU de 14.10.94, Lex 194/112 ADIn 1.121, CM, Plenário, 6.9.95, DJU de 6.10.95 RE 146.822, PB, 2ª T, 14.12.93, DJU de 15.4.94 RE (AgRg-EDiv) 146.822, MA, Plenário, 30.10.95, DJU de 23.8.96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2026-10-16T15:03:58.175Z</dcterms:created>
  <dcterms:modified xsi:type="dcterms:W3CDTF">2026-10-16T15:03:58.175Z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