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Recurso: </w:t>
      </w:r>
      <w:r>
        <w:t xml:space="preserve">MS 22.468</w:t>
      </w:r>
    </w:p>
    <w:p/>
    <w:p>
      <w:r>
        <w:t xml:space="preserve">FIXAÇÃO ATRAVÉS DE CONVENÇÃO COLETIVA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de vencimentos dos servidores públicos não pode ser objeto de convenção coletiva. Legislação: - CF, art. 61, § 1º, II, a Julgados: ADInMC 492, CV, Plenário, 1º.7.91, DJU de 1º.7.92, RTJ 140/15 ADInMC 559, CB, Plenário, 8.8.91, DJU de 4.10.91, RTJ 138/57 ADInMC 554, CB, Plenário, 8.8.91, DJU de 13.9.91, RTJ 139/762 ADInMC 519, MA, Plenário, 15.8.91, DJU de 11.10.91, RTJ 137/574 ADIn 492, CV, Plenário, 12.11.92, DJU de 12.3.93, RTJ 145/68 MS 22.468, MC, Plenário, 13.6.96, DJU de 20.9.96, RTJ 166/180 MS 22.451, MC, Plenário, 5.6.97, DJU de 15.8.97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2026-07-27T23:20:16.846Z</dcterms:created>
  <dcterms:modified xsi:type="dcterms:W3CDTF">2026-07-27T23:20:16.846Z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