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HORÁRIO DE TRABALHO</w:t>
      </w:r>
    </w:p>
    <w:p>
      <w:r>
        <w:rPr>
          <w:i/>
          <w:iCs/>
          <w:color w:val="666666"/>
        </w:rPr>
        <w:t xml:space="preserve">ALTERAÇÃO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30/11/1977</w:t>
      </w:r>
    </w:p>
    <w:p/>
    <w:p>
      <w:r>
        <w:t xml:space="preserve">ANUÊNIOS PAGOS POR FORÇA DE SENTENÇA COLETIVA — INTEGRAÇÃO NO SALÁRIO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anuênios não foram computados no salário do cargo efetivo para efeito de cálculo da gratificação de 1/3 do artigo 224, § 2º da CLT. - Os anuênios são devidos e pagos pelo empregador e sua fonte é uma sentença coletiva. Seu aspecto salarial, portanto, é incontroverso. Incidem no cálculo do salário pelo seu duodécimo. Devem, pois, ser levados em conta para se aferir se a gratificação do bancário alcança ou não o terço do salário global, para efeito de pagamento ou não, como extraordinárias, das duas primeiras horas prestadas. - A CLT fala em salário do cargo efetivo, e não em salário fixo. Logo, o salário é o todo que provenha do empregador, em contrapartida do trabalho prestado. É isso que distingue salário de remuneração: esta, é o salário e mais o que o empregado receba de terceiro, que não o seu patrão. - O fato de o anuênio ser vantagem pessoal não lhe retira o caráter salarial, dada a sua irredutibilidade garantida em lei. - Dou provimento, para condenar a reclamada a pagar, como extraordinárias, inclusive com o acréscimo legal, as 7ª e 8ª horas trabalhadas pelo reclamante, já que a sua gratificação funcional não alcança o mínimo de 1/3 do valor do salário do cargo efetivo. PROC. TST-RR-3.530/77, Julgado em 01-12-1977 Arquivo do Ementário Forense, TST/619 EMENTÁRIO FORENSE. AGOSTO, 1978. ANO XXX . Nº 357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anuênios, devidos e pagos pelo empregador por força de sentença coletiva, que é fonte do direito do trabalho, são parcelas que se integram ao salário. Nada obsta serem uma vantagem pessoal.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2026-07-28T01:31:19.819Z</dcterms:created>
  <dcterms:modified xsi:type="dcterms:W3CDTF">2026-07-28T01:31:19.820Z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