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04/12/1977</w:t>
      </w:r>
    </w:p>
    <w:p/>
    <w:p>
      <w:r>
        <w:t xml:space="preserve">REGIME ESTATUTÁRIO E CELETISTA — DISCRIMINAÇÃO NA CONTAGEM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reclamantes foram admitidos nos anos de 1955 e 1954, respectivamente, como consta da inicial, prestando seus serviços sob a égide da Lei 1.890/53. - De acordo com o artigo 168, inciso IV, da Lei 1.751/52, Estatuto Estadual, que regula o tempo se serviço para efeito de aposentadoria, consigna ele em seu texto que há de ser computado o tempo de serviço prestado sob regime da lei 1.890/53. Também, o art. 162, § único do referido Estatuto, manda considerar para efeitos de licença prêmio, o tempo de serviço previsto no art. 168. - Através da Lei 4.136/61 a então autarquia estadual foi incorporada pelo Estado, sendo que o tempo de serviço de seus servidores prestados na vigência da Lei 1.890/53, passou necessariamente a ser computado para efeito de licença prêmio, conforme estabelecido no § único do art. 162, c/c art. 168, inciso IV, da Lei 1.751/52, do Estatuto Estadual. - Assim, havendo os servidores trabalhado sem interrupção na prestação de serviço, tanto em decorrência de contrato de emprego, sob a Lei 1.890/53, como, posteriormente, como extranumerários, o tempo prestado sob o primeiro regime e considerado para todos os efeitos, conforme determina o próprio Estatuto. - Rejeito os Embargos. PROC. TST-E-RR-2.451/76, Julgado em 05-12-1977 VENCIDOS OS MINISTROS RAYMUNDO DE SOUZA MOURA E MOZART VICTOR RUSSOMANO Arquivo do Ementário Forense, TST/623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admitia a soma do tempo de serviço sob o regime estatutário e celetista, para a mesma empresa, impossível discriminar a contagem para os efeitos da licença-prêmio, que esta concede.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2026-10-16T18:38:05.266Z</dcterms:created>
  <dcterms:modified xsi:type="dcterms:W3CDTF">2026-10-16T18:38:05.266Z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