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19/02/1979</w:t>
      </w:r>
    </w:p>
    <w:p/>
    <w:p>
      <w:r>
        <w:t xml:space="preserve">COMO SE CONCEITUA A DECISÃO DO SUPREMO TRIBUNAL FEDERAL A RESPEITO DE SUA COGÊNCIA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Supremo proclamou a impossibilidade de serem inconstitucionais os prejulgados trabalhistas pois desde a Constituição Federal de 1946 perderam eles a cogência que lhe atribui o § 1º do artigo 902 da Consolidação das Leis do Trabalho, por isso mesmo de flagrante inconstitucionalidade. Mas os verbetes continuam com a mesma força das súmulas e a aplicação de qualquer deles passou a ser ato do Juiz, no Pleno e livre exercido da jurisdição. Ademais, o efeito processual de ambos continua firme, impedindo o conhecimento de revista quando ataca acórdão que neles se arrima (Consolidação das Leis do Trabalho, artigo 896). - Por essa razão, não conheço do recurso. Proc. nº TST-RR-2.165/78. Julgado em 20-02-1979 Arquivo do Ementário Forense, TST/843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STF proclamou que os Prejulgados Trabalhistas não são inconstitucionais na sua cogência porque desde a Constituição Federal de 1946 eles não têm esse atributo, que lhes confere o § 1º do artigo 902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2026-10-16T16:32:03.014Z</dcterms:created>
  <dcterms:modified xsi:type="dcterms:W3CDTF">2026-10-16T16:32:03.014Z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