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19/02/1979</w:t>
      </w:r>
    </w:p>
    <w:p/>
    <w:p>
      <w:r>
        <w:t xml:space="preserve">COMO SE CONCEITUA A DECISÃO DO SUPREMO TRIBUNAL FEDERAL A RESPEITO DE SUA COGÊNCIA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proclamou a impossibilidade de serem inconstitucionais os prejulgados trabalhistas pois desde a Constituição Federal de 1946 perderam eles a cogência que lhe atribui o § 1º do artigo 902 da Consolidação das Leis do Trabalho, por isso mesmo de flagrante inconstitucionalidade. Mas os verbetes continuam com a mesma força das súmulas e a aplicação de qualquer deles passou a ser ato do Juiz, no Pleno e livre exercido da jurisdição. Ademais, o efeito processual de ambos continua firme, impedindo o conhecimento de revista quando ataca acórdão que neles se arrima (Consolidação das Leis do Trabalho, artigo 896). - Por essa razão, não conheço do recurso. Proc. nº TST-RR-2.165/78. Julgado em 20-02-1979 Arquivo do Ementário Forense, TST/843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STF proclamou que os Prejulgados Trabalhistas não são inconstitucionais na sua cogência porque desde a Constituição Federal de 1946 eles não têm esse atributo, que lhes confere o § 1º do artigo 902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2026-07-28T02:17:55.272Z</dcterms:created>
  <dcterms:modified xsi:type="dcterms:W3CDTF">2026-07-28T02:17:55.272Z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