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19/04/1979</w:t>
      </w:r>
    </w:p>
    <w:p/>
    <w:p>
      <w:r>
        <w:t xml:space="preserve">CONTINUIDADE — TEMPO DE SERVIÇO ANTERIOR - QUANDO NÃO É COMPUTÁVEL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reclamante, foi reconhecido o direito a indenização dobrada, considerado todo o período anterior à sua aposentadoria. - Ocorre que esta foi espontânea e, com a nova redação dada ao art. 453 da CLT, pela Lei 6.204/75, o tempo de serviço prestado anteriormente pelo empregado não se computa para qualquer efeito, quando readmitido, extinto o contrato anterior. - Acolho os embargos para excluir da condenação o pagamento da indenização em dobro do período anterior a aposentadoria do reclamante. Proc. TST-E-RR-260/77. Julgado em 20-4-1979 VENCIDOS OS MINISTROS ORLANDO COUTINHO, ALVES DE ALMEIDA E JUIZ ROBERTO MÁRIO Arquivo do Ementário Forense. TST/823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 nova redação dada ao art. 453 da CLT, pela Lei nº 6.204/75, sendo espontânea a aposentadoria, o tempo de serviço prestado anteriormente pelo empregado não se computa para qualquer efeito, quando readmitido, extinto o contrato anterior...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2026-10-16T16:33:29.292Z</dcterms:created>
  <dcterms:modified xsi:type="dcterms:W3CDTF">2026-10-16T16:33:29.292Z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