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NEGATIVA DE PRESTAÇÃO JURISDICIONAL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19/04/1979</w:t>
      </w:r>
    </w:p>
    <w:p/>
    <w:p>
      <w:r>
        <w:t xml:space="preserve">CONTINUIDADE — TEMPO DE SERVIÇO ANTERIOR - QUANDO NÃO É COMPUTÁVEL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reclamante, foi reconhecido o direito a indenização dobrada, considerado todo o período anterior à sua aposentadoria. - Ocorre que esta foi espontânea e, com a nova redação dada ao art. 453 da CLT, pela Lei 6.204/75, o tempo de serviço prestado anteriormente pelo empregado não se computa para qualquer efeito, quando readmitido, extinto o contrato anterior. - Acolho os embargos para excluir da condenação o pagamento da indenização em dobro do período anterior a aposentadoria do reclamante. Proc. TST-E-RR-260/77. Julgado em 20-4-1979 VENCIDOS OS MINISTROS ORLANDO COUTINHO, ALVES DE ALMEIDA E JUIZ ROBERTO MÁRIO Arquivo do Ementário Forense. TST/823 EMENTÁRIO FORENSE. Agosto, 1979. ANO XXXI. Nº 369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Face a nova redação dada ao art. 453 da CLT, pela Lei nº 6.204/75, sendo espontânea a aposentadoria, o tempo de serviço prestado anteriormente pelo empregado não se computa para qualquer efeito, quando readmitido, extinto o contrato anterior...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2026-07-28T02:18:17.545Z</dcterms:created>
  <dcterms:modified xsi:type="dcterms:W3CDTF">2026-07-28T02:18:17.545Z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