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03/12/1978</w:t>
      </w:r>
    </w:p>
    <w:p/>
    <w:p>
      <w:r>
        <w:t xml:space="preserve">QUANDO DEVE SER A VERBA ACRESCENTADA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 gratificação de férias foi instituída sob condição de o empregado completar o ano aquisitivo. Despedindo o autor sem justa causa, o empregador obstou o implemento da condição e o fez, sem dúvida, maliciosamente, já que pelo silêncio, confessou a alegação do empregado de que a despedida fora imotivada. - O art. 120 do Código Civil incide, pleno. - Essa tem sido a trilha seguida, em casos idênticos, pelo TST. - Acolho os embargos, para acrescentar à condenação a verba correspondente à gratificação de férias. Proc. TST-E-RR-2.168/77. Julgado em 4-12-1978 VENCIDOS OS MINISTROS NELSON TAPAJÓS (revisor), FERNANDO FRANCO, STARLING SOARES E MOZART VICTOR RUSSOMANO E O JUIZ WAGNER SIGLIO (relator) Arquivo do Ementário Forense, TST/816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 despede, sem justa causa, o empregado, impedindo-o de implementar a condição temporal que lhe daria direito à gratificação de férias regulamentares, incide nas iras do art. 120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2026-07-28T02:18:20.474Z</dcterms:created>
  <dcterms:modified xsi:type="dcterms:W3CDTF">2026-07-28T02:18:20.474Z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