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03/12/1978</w:t>
      </w:r>
    </w:p>
    <w:p/>
    <w:p>
      <w:r>
        <w:t xml:space="preserve">VALIDADE DO FORNECIDO POR MÉDICO PARTICULAR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2º do artigo 6º da Lei 605/49 não cobre a espécie, pois não determina que, estando no estrangeiro o empregado doente, dirija-se ao consulado ou à embaixada para obter o atestado médico, como argumenta a recorrente, sem demonstrar outro dispositivo que obrigasse a tal conduta. - A jurisprudência então oferecida não toca na especificidade do ponto enfocado pelo aresto embargado. - Não conhecidos os embargos. Proc. TST-E-RR 2.169/76. Julgado em 4-12-1978 Arquivo do Ementário Forense. TST/796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infringência à literalidade do artigo 6º, § 2º, da Lei 605/49, no entendimento que admite a validade do atestado médico particular, estando o empregado no estrangeiro.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2026-10-26T02:44:27.152Z</dcterms:created>
  <dcterms:modified xsi:type="dcterms:W3CDTF">2026-10-26T02:44:27.152Z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