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07/11/1978</w:t>
      </w:r>
    </w:p>
    <w:p/>
    <w:p>
      <w:r>
        <w:t xml:space="preserve">LITÍGIO QUE A ENVOLVE — SE É COMPETENTE 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flagrante violação dos dispositivos legais e constitucionais invocados. Com efeito tratando-se de autarquia federal, absoluta é a incompetência desta Justiça para dirimir o presente litígio, nos termos do art. 110, da Constituição Federal. Ressalte-se, ainda, que o fundamento da decisão embargada, ou seja, o comparecimento à audiência inaugural (...) não tem o condão de dar competência a quem não a tem, devendo-se, ainda, acrescentar que a audiência inaugural foi também adiada para que a reclamada "se faça representar regularmente" e não há nos autos prova de que tenha sido expedida notificação para quem de direito. - Assim, acolho os presentes embargos para anular o processo a partir da sentença originária e declinar da competência desta Justiça para uma das Varas da Justiça Federal - Seção do Rio de Janeiro. Proc. TST-E-RR-3.032/76. Julgado em 8-11-1978 Arquivo do Ementário Forense. TST/800 EMENTÁRIO FORENSE, Julho, 1919.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não é competente para dirimir litígios envolvendo Autarquia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2026-07-28T00:50:19.856Z</dcterms:created>
  <dcterms:modified xsi:type="dcterms:W3CDTF">2026-07-28T00:50:19.856Z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