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06/06/1978</w:t>
      </w:r>
    </w:p>
    <w:p/>
    <w:p>
      <w:r>
        <w:t xml:space="preserve">TRINTA ANOS DE SERVIÇO — CONDIÇÃO REGULAMENTAR - SUA PREVALÊNCIA SOBRE A "ESPECIAL" DA CLPS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Domina a jurisprudência desta Corte no sentido de que, em tais hipóteses, a complementação criada espontaneamente pelo empregador não pode ser afetada pela aposentadoria especial, que diminuiu de 30 para 25 anos o período aquisitivo, porque a condição trintenária é regulamentar e, pois, contratual. Proc. TST-E-RR-5.045/76. Julgado em 7-6-1978 VENCIDO O MINISTRO ALVES DE ALMEIDA Arquivo do Ementário Forense, TST/738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de aposentadoria, criada espontaneamente pelo empregador e condicionada à prestação de trinta anos de serviço à empresa, não é afetada pela aposentadoria especial criada pela CLPS.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2026-10-26T03:45:20.505Z</dcterms:created>
  <dcterms:modified xsi:type="dcterms:W3CDTF">2026-10-26T03:45:20.505Z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