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06/03/1978</w:t>
      </w:r>
    </w:p>
    <w:p/>
    <w:p>
      <w:r>
        <w:t xml:space="preserve">EQUIPARAÇÃO AOS BANCOS — QUANDO ESTÃO DESTA EXCLUÍDAS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Súmula 55 (*) se refere a empresas de crédito, financiamento e investimento, que são denominadas a grosso modo, "financeiras". Tenho dito que me filio ao ponto de vista de que as corretoras de valores mobiliários, que apenas intermediam se vendas de títulos e não lidam diretamente com dinheiro, estão fora do âmbito da Súmula 55. No caso, trata-se de companhia corretora de câmbio e títulos. A corretora de câmbio lida com dinheiro e essas operações das corretoras eram anteriormente praticadas dentro dos bancos. - Vi, na sentença da Junta, que o Regional confirmou: "horas extras, diferenças de salários, tudo está em função dessa Súmula." - Nego provimento. Proc. TST-RR-4.522/77. Julgado em 7-3-1978 VENCIDO O MINISTRO LOMBA FERRAZ Arquivo do Ementário Forense, TST/725 (*) "As empresas de crédito, financiamento ou investimento, também denominadas "financeiras", equiparam-se aos estabelecimentos bancários para os efeitos do artigo 224 da consolidação das Leis do Trabalho." ("EMENTÁRIO FORENSE", Nº 313)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corretoras que apenas intermediam as vendas de títulos e não lidam diretamente com dinheiro estão fora de âmbito da Súmula 55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2026-07-28T00:29:40.383Z</dcterms:created>
  <dcterms:modified xsi:type="dcterms:W3CDTF">2026-07-28T00:29:40.383Z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