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28/06/1978</w:t>
      </w:r>
    </w:p>
    <w:p/>
    <w:p>
      <w:r>
        <w:t xml:space="preserve">PARADIGMA COM VANTAGEM DECORRENTE DE FREQÜÊNCIA AO TRABALHO — IMPOSSIBILIDADE DE EQUIPARAÇÃO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Instituiu a Reclamada, a título de estímulo, um acréscimo remuneratório aos empregados que, durante dois anos, não cometessem faltas em número superior a 90, inclusive por motivo de doença, permanecendo eles no mesmo nível salarial, mas com aquele plus remuneratório. No caso presente, o Autor esteve afastado por mais de 90 dias, perdendo o direito à vantagem instituída pela Ré. - O v. acórdão regional entendeu lícito o procedimento empresarial, não se podendo cogitar, assim, de pedido de equiparação salarial. - Os arestos apontados no recurso falam de cláusula benéfica que, instituída não mais pode ser retirada; das ausências ao serviço, que não podem ser levadas em conta para aferição de produtividade e equiparação salarial; que o art. 461 da CLT não leva em conta a assiduidade, para efeitos equiparatórios e que aumentos espontâneos, genéricos, não podem admitir discriminações. - Não vemos a divergência pretendida. - Na hipótese vertente, continuam, paradigmas e reclamantes, no mesmo nível salarial, nível 3, com a diferença resultante da vantagem a que os outros fizeram jus, não o fazendo o Autor, eis que não satisfeito o requisito exigido. Trata-se de vantagem pessoal. - Não conheço do recurso. Proc. TST-RR-738/78. Julgado em 29-6-1978 VENCIDO O MINISTRO LIMA TEIXEIRA Arquivo do Ementário Forense, TST/735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a equiparação quando o empregado paradigma obteve vantagem salarial resultante de sua freqüência ao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2026-07-28T00:34:07.900Z</dcterms:created>
  <dcterms:modified xsi:type="dcterms:W3CDTF">2026-07-28T00:34:07.900Z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