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APOSENTADORIA POR TEMPO DE SERVIÇO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28/06/1978</w:t>
      </w:r>
    </w:p>
    <w:p/>
    <w:p>
      <w:r>
        <w:t xml:space="preserve">PARADIGMA COM VANTAGEM DECORRENTE DE FREQÜÊNCIA AO TRABALHO — IMPOSSIBILIDADE DE EQUIPARAÇÃO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Instituiu a Reclamada, a título de estímulo, um acréscimo remuneratório aos empregados que, durante dois anos, não cometessem faltas em número superior a 90, inclusive por motivo de doença, permanecendo eles no mesmo nível salarial, mas com aquele plus remuneratório. No caso presente, o Autor esteve afastado por mais de 90 dias, perdendo o direito à vantagem instituída pela Ré. - O v. acórdão regional entendeu lícito o procedimento empresarial, não se podendo cogitar, assim, de pedido de equiparação salarial. - Os arestos apontados no recurso falam de cláusula benéfica que, instituída não mais pode ser retirada; das ausências ao serviço, que não podem ser levadas em conta para aferição de produtividade e equiparação salarial; que o art. 461 da CLT não leva em conta a assiduidade, para efeitos equiparatórios e que aumentos espontâneos, genéricos, não podem admitir discriminações. - Não vemos a divergência pretendida. - Na hipótese vertente, continuam, paradigmas e reclamantes, no mesmo nível salarial, nível 3, com a diferença resultante da vantagem a que os outros fizeram jus, não o fazendo o Autor, eis que não satisfeito o requisito exigido. Trata-se de vantagem pessoal. - Não conheço do recurso. Proc. TST-RR-738/78. Julgado em 29-6-1978 VENCIDO O MINISTRO LIMA TEIXEIRA Arquivo do Ementário Forense, TST/735 EMENTÁRIO FORENSE. Fevereiro, 1979. ANO XXXI. Nº 363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Impossível a equiparação quando o empregado paradigma obteve vantagem salarial resultante de sua freqüência ao trabalho.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2026-10-26T03:50:52.309Z</dcterms:created>
  <dcterms:modified xsi:type="dcterms:W3CDTF">2026-10-26T03:50:52.309Z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