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01/05/1978</w:t>
      </w:r>
    </w:p>
    <w:p/>
    <w:p>
      <w:r>
        <w:t xml:space="preserve">SE É APLICÁVEL ÁS AÇÕES E EXECUÇÕES TRABALHISTAS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 a agravante que, estando em regime de liquidação extrajudicial, os feitos que porventura lhe sejam movidos devem ser suspensos, a teor do que determina o art. 18, letra "a", da Lei 6.024/74. Sustenta, demais disso, que foi malferido o art. 224 da CLT, eis que, a ora agravada foi contratada para trabalhar 8 horas. Não procedem as alegações. O que a lei determina é a suspensão dos fatos que envolvam direitos e interesses do acervo da liquidanda, o que não é o caso dos direitos trabalhistas pendentes. Proc. TST-AI-3.817/77. Julgado em 2-5-1978 Arquivo do Ementário Forense, TST/717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suspendem as ações trabalhistas movidas contra entidades em regime de liquidação extrajudicial.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2026-10-26T05:41:11.408Z</dcterms:created>
  <dcterms:modified xsi:type="dcterms:W3CDTF">2026-10-26T05:41:11.408Z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