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18/05/1978</w:t>
      </w:r>
    </w:p>
    <w:p/>
    <w:p>
      <w:r>
        <w:t xml:space="preserve">DESCANSO DE ONZE HORAS APÓS CADA UMA — INDEPENDÊNCIA DO REPOUSO SEMANAL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repouso semanal, de vinte e quatro horas consecutivas, deve ser gozado pelo empregado sem prejuízo daquele de onze horas que devem intermediar uma jornada de trabalho e outra. Não se superpõem os repousos, mas sim se somam, "data venia" do v. acórdão embargado. - Procedendo a empresa na forma referendada pelo r. acórdão recorrido, em verdade está reduzindo o descanso semanal de vinte e quatro para treze horas e terá o empregado prestado serviços durante onze horas destinadas ao repouso. - Estas horas deverão ser pagas em dobro, ao teor da lei nº 605/49. Como o foram de forma simples, resta ao empregado o direito de receber a diferença, como se apurar em execução. - Para esses fins recebo os embargos. Proc. TST-E-RR-4.915/75. Julgado em 19-5-1978 VENCIDOS OS MINISTROS FERNANDO FRANCO (relator), COQUEIJO COSTA (revisor), NELSON TAPAJÓS E HILDEBRANDO BISAGLIA. Arquivo do Ementário Forense, TST/719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descanso semanal de vinte e quatro horas deve ser gozado sem prejuízo daquele de onze horas, que deve mediar uma e outra jornada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2026-06-17T16:59:13.166Z</dcterms:created>
  <dcterms:modified xsi:type="dcterms:W3CDTF">2026-06-17T16:59:13.166Z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