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01/05/1973</w:t>
      </w:r>
    </w:p>
    <w:p/>
    <w:p>
      <w:r>
        <w:t xml:space="preserve">PRÁTICA DESTA NO CURSO DAQUELE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legislação trabalhista prevê especificamente que, na hipótese de ocorrência de justa causa durante o curso do aviso prévio, o empregado perde o direito ao restante do respectivo prazo (art. 491 da CLT), assim, dado o aviso prévio, já configurada restou a dispensa Injusta, apenas cabendo a restrição ao pagamento do restante do aviso prévio e prevalecendo as outras verbas rescisórias. - Por isto, nego provimento ao recurso. Proc. TST-RR-2.360/77. Julgado em 2-5-1973 VOTO VENCIDO DO MINISTRO RAYMUNDO DE SOUZA MOURA - O artigo 491, da CLT, insere-se no capítulo do Aviso Prévio, e é apenas acerca desta matéria que deve ser interpretado. O legislador enfrentou três hipóteses, no caso de se achar pré-avisado o empregado e em tal situação praticar falta grave. Seria obrigado a restituir o que já havia recebido; ou teria direito a receber até o fim, uma vez que não se daria efeito retroativo à concessão; ou, finalmente, a situação se deteria no momento, cortando o restante do aviso. Optou por esta última hipótese. Como é sabido, no estado de pré-aviso não fica o contrato rompido, pois se consuma a rescisão com o fim do prazo. Por outro lado, não se deve inferir qualquer conseqüência sobre a indenização de antigüidade, porque disso não cuida o capítulo em questão. A matéria da indenização está inscrita no capítulo anterior, intitulado precisamente "Da rescisão", e que fica intangível, regulando por inteiro a matéria que é própria. Resolvida a parte do aviso prévio, da forma por que foi enunciada, resta aplicar ao caso o que disp õem os artigos 477 e seguintes que integram o Capitulo V, da CLT. - Ora, se ficou provado que o reclamante praticou falta capaz de justificar a rescisão, como é inquestionável, e o contrato estava em pleno vigor, responde por seu ato o reclamante, com a perda das verbas indenizatórias e seus reflexos em outras vantagens. - Dou provimento para excluir da condenação as parcelas de férias, gratificação natalina e Fundo de Garantia. IDEM VENCIDO O MINISTRO FERNANDO FRANCO Arquivo do Ementário Forense, TST/713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ocorrência de justa causa durante o curso do aviso prévio, o empregado perde o direito ao restante do respectivo prazo (artigo 491 da Consolidação das Leis do Trabalho), assim, dado o aviso prévio, já configurada restou a dispensa injusta, apenas cabendo a restrição ao pagamento do restante do aviso prévio e prevalecendo as outras verbas rescisórias.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2026-09-10T23:37:12.603Z</dcterms:created>
  <dcterms:modified xsi:type="dcterms:W3CDTF">2026-09-10T23:37:12.603Z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