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03/04/1978</w:t>
      </w:r>
    </w:p>
    <w:p/>
    <w:p>
      <w:r>
        <w:t xml:space="preserve">EXECUÇÃO POR CARTA — PROCESSO E JULGAMENTO - JUIZ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Diversos têm sido os Julgados desta Corte no sentido da competência do Juízo deprecado para apreciar os embargos do devedor na execução por carta precatória, face ao que estabelece o art. 747 do CPC, referindo-se à competência do juízo requerido. - Entendo com essa corrente, ou seja, que o juízo requerido do art. 747 do CPC é o juízo deprecado. Assim, decido o presente conflito de competência declarando a competência do juízo requerido, que é o deprecado. - Seja, pois, esta decisão comunicada imediatamente às autoridades em conflito, com remessa dos autos à MM. 8ª JCJ de Salvador (deprecada). - É o meu voto. Proc. TST-CC-12/77. Julgado em 4-4-1978 VENCIDOS OS MINISTROS RAYMUNDO DE SOUZA MOURA E ALVES DE ALMEIDA Arquivo do Ementário Forense, TST/707 N. da R.: V. a nota ao acórdão preferido no Processo TST-CC-3/77, in "EMENTÁRIO FORENSE", Nº 356, mesmos título e subtítulo.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por carta precatória, os embargos do devedor são decididos pelo Juízo requerido que é o deprecado.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2026-10-26T02:23:45.867Z</dcterms:created>
  <dcterms:modified xsi:type="dcterms:W3CDTF">2026-10-26T02:23:45.867Z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