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03/04/1978</w:t>
      </w:r>
    </w:p>
    <w:p/>
    <w:p>
      <w:r>
        <w:t xml:space="preserve">EXECUÇÃO POR CARTA — PROCESSO E JULGAMENTO - JUIZ COMPETENTE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Diversos têm sido os Julgados desta Corte no sentido da competência do Juízo deprecado para apreciar os embargos do devedor na execução por carta precatória, face ao que estabelece o art. 747 do CPC, referindo-se à competência do juízo requerido. - Entendo com essa corrente, ou seja, que o juízo requerido do art. 747 do CPC é o juízo deprecado. Assim, decido o presente conflito de competência declarando a competência do juízo requerido, que é o deprecado. - Seja, pois, esta decisão comunicada imediatamente às autoridades em conflito, com remessa dos autos à MM. 8ª JCJ de Salvador (deprecada). - É o meu voto. Proc. TST-CC-12/77. Julgado em 4-4-1978 VENCIDOS OS MINISTROS RAYMUNDO DE SOUZA MOURA E ALVES DE ALMEIDA Arquivo do Ementário Forense, TST/707 N. da R.: V. a nota ao acórdão preferido no Processo TST-CC-3/77, in "EMENTÁRIO FORENSE", Nº 356, mesmos título e subtítulo.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execução por carta precatória, os embargos do devedor são decididos pelo Juízo requerido que é o deprecado.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2026-06-17T18:09:14.545Z</dcterms:created>
  <dcterms:modified xsi:type="dcterms:W3CDTF">2026-06-17T18:09:14.545Z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