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>
      <w:r>
        <w:rPr>
          <w:b/>
          <w:bCs/>
        </w:rPr>
        <w:t xml:space="preserve">Julgado em: </w:t>
      </w:r>
      <w:r>
        <w:t xml:space="preserve">10/04/1972</w:t>
      </w:r>
    </w:p>
    <w:p/>
    <w:p>
      <w:r>
        <w:t xml:space="preserve">AUSÊNCIA DO PROCURADOR DO AUTOR — FALTA DE PREGÃO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do termo de audiência ... que a mesma foi aberta mas não ficou consignado que houve o pregão pelo porteiro dos auditórios ou quem suas vezes fizer. O art. 264 do CPC dispõe: "o juiz mandará que o porteiro dos auditórios ou oficial de justiça, declare aberta a audiência, apregoando em seguida as pessoas, cujo comparecimento for obrigatório... " - Ensina PONTES DE MIRANDA que a abertura da audiência, com os pregões, é formalidade essencial, cuja falta importa nulidade ( "Comentários ao Cód. de Proc. Civil", tomo 3º - 458, nº 2). No mesmo sentido é o ensinamento de MOACYR AMARAL SANTOS: " A abertura da audiência com os pregões, é formalidade essencial. A falta de pregão importa em nulidade da audiência, alegável pela parte prejudicada não apregoada, que não tenha comparecido a mesma" Código cit., art. 278, parágrafo segundo) "Direito Processual Civil", vol 2º - 219). Julgado em 11-04-1972 Revista dos Tribunais, Junho de 1972 - Pág. 182 EMENTÁRIO FORENSE. Junho, 1973. Ano XXV. Nº 295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264 do Código de Processo Civil. - O tempo deve retratar o que ocorre na audiência, de forma sintética, sem a supressão de formalidades consideradas essenciais, como ocorre com o pregão. Sua inexistência prejudica a parte que, por essa omissão, deixa de comparecer, acarretando-lhe prejuízos. Não pode, pois, prevalecer a decretação da absolvição de instância quando se verifica tal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2026-10-26T03:20:00.848Z</dcterms:created>
  <dcterms:modified xsi:type="dcterms:W3CDTF">2026-10-26T03:20:00.848Z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