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01/05/1978</w:t>
      </w:r>
    </w:p>
    <w:p/>
    <w:p>
      <w:r>
        <w:t xml:space="preserve">PERÍODOS DESCONTÍNUOS — SOMA PARA TODOS OS EFEITOS LEGAIS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Conheço do apelo por violação do artigo 453 da CLT e desde logo dou provimento por entender que o mencionado dispositivo legal não tem em mira, unicamente, o problema da indenização legal ou da aquisição da estabilidade, para ser incompatível com o regime do FGTS. - A regra ali contida, diz respeito ao tratamento jurídico do fato da prestação de serviços em períodos descontínuos sem delimitar para que efeitos legais. Entende-se, assim, que a soma dos períodos de tempo de serviço estatuída no art. 453 é para todos os efeitos legalmente possível. - Ante o exposto dou provimento ao apelo para julgar procedente o pedido de movimentação do saldo da conta vinculada relativamente ao primeiro período trabalhado para a empresa, a qual deverá fornecer as guias para movimentação pelo código 01. - É o meu voto. Proc. TST-RR-4.618/77. Julgado em 2-5-1978 VENCIDOS OS MINISTROS COQUEIJO COSTA E LOMBA FERRAZ Arquivo do Ementário Forense, TST/709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do artigo 453 da Consolidação das Leis do Trabalho diz respeito ao tratamento jurídico do fato da prestação de serviços em períodos descontínuos sem delimitar para que efeitos legais.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2026-06-17T14:10:24.032Z</dcterms:created>
  <dcterms:modified xsi:type="dcterms:W3CDTF">2026-06-17T14:10:24.032Z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