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01/05/1978</w:t>
      </w:r>
    </w:p>
    <w:p/>
    <w:p>
      <w:r>
        <w:t xml:space="preserve">PERÍODOS DESCONTÍNUOS — SOMA PARA TODOS OS EFEITOS LEGAIS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Conheço do apelo por violação do artigo 453 da CLT e desde logo dou provimento por entender que o mencionado dispositivo legal não tem em mira, unicamente, o problema da indenização legal ou da aquisição da estabilidade, para ser incompatível com o regime do FGTS. - A regra ali contida, diz respeito ao tratamento jurídico do fato da prestação de serviços em períodos descontínuos sem delimitar para que efeitos legais. Entende-se, assim, que a soma dos períodos de tempo de serviço estatuída no art. 453 é para todos os efeitos legalmente possível. - Ante o exposto dou provimento ao apelo para julgar procedente o pedido de movimentação do saldo da conta vinculada relativamente ao primeiro período trabalhado para a empresa, a qual deverá fornecer as guias para movimentação pelo código 01. - É o meu voto. Proc. TST-RR-4.618/77. Julgado em 2-5-1978 VENCIDOS OS MINISTROS COQUEIJO COSTA E LOMBA FERRAZ Arquivo do Ementário Forense, TST/709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regra do artigo 453 da Consolidação das Leis do Trabalho diz respeito ao tratamento jurídico do fato da prestação de serviços em períodos descontínuos sem delimitar para que efeitos legais.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2026-09-11T00:26:49.427Z</dcterms:created>
  <dcterms:modified xsi:type="dcterms:W3CDTF">2026-09-11T00:26:49.427Z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