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01/05/1978</w:t>
      </w:r>
    </w:p>
    <w:p/>
    <w:p>
      <w:r>
        <w:t xml:space="preserve">PERÍODOS DESCONTÍNUOS — SOMA PARA TODOS OS EFEITOS LEGAIS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do apelo por violação do artigo 453 da CLT e desde logo dou provimento por entender que o mencionado dispositivo legal não tem em mira, unicamente, o problema da indenização legal ou da aquisição da estabilidade, para ser incompatível com o regime do FGTS. - A regra ali contida, diz respeito ao tratamento jurídico do fato da prestação de serviços em períodos descontínuos sem delimitar para que efeitos legais. Entende-se, assim, que a soma dos períodos de tempo de serviço estatuída no art. 453 é para todos os efeitos legalmente possível. - Ante o exposto dou provimento ao apelo para julgar procedente o pedido de movimentação do saldo da conta vinculada relativamente ao primeiro período trabalhado para a empresa, a qual deverá fornecer as guias para movimentação pelo código 01. - É o meu voto. Proc. TST-RR-4.618/77. Julgado em 2-5-1978 VENCIDOS OS MINISTROS COQUEIJO COSTA E LOMBA FERRAZ Arquivo do Ementário Forense, TST/709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artigo 453 da Consolidação das Leis do Trabalho diz respeito ao tratamento jurídico do fato da prestação de serviços em períodos descontínuos sem delimitar para que efeitos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2026-10-26T02:20:57.509Z</dcterms:created>
  <dcterms:modified xsi:type="dcterms:W3CDTF">2026-10-26T02:20:57.509Z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