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17/04/1978</w:t>
      </w:r>
    </w:p>
    <w:p/>
    <w:p>
      <w:r>
        <w:t xml:space="preserve">TEMPO DE SERVIÇO — REGIME DA LEI 1.890/53 - CÔMPUTO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no caso, contagem de tempo de serviço contado sob a égide da lei 1890, para efeito de concessão de licença-prêmio, referente ao período de 1948/1958, quando não possuía a condição de servidor autárquico, o que só aconteceu em 1960. - A Jurisprudência deste Tribunal tem se inclinado no sentido da contagem daquele tempo, eis que a própria Reclamada o considera, para outros efeitos, como é o caso de adicional por tempo de serviço. - Ao demais, a alteração do regime não pode prejudicar direitos do empregado, mormente quando tais direitos, na sua maioria lhe foram assegurados. - Dou provimento, para julgar procedente a reclamação, nesse aspecto, de acordo com o pedido, apurando-se o "quantum" em liquidação de sentença. - Embora conhecendo do recurso, pela divergência apontada, ..., "in fine", a ele nego provimento. Proc. TST-RR-4.609/77. Julgado em 18-4-1978 Arquivo do Ementário Forense, TST/705 EMENTÁRIO FORENSE. Janeiro, 1979. ANO XXXI. Nº 362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Considera-se o tempo de serviço prestado sob a égide da Lei 1.890/53, para efeito de gozo e pagamento de licença prêmio.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2026-09-10T23:35:24.966Z</dcterms:created>
  <dcterms:modified xsi:type="dcterms:W3CDTF">2026-09-10T23:35:24.966Z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