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17/04/1978</w:t>
      </w:r>
    </w:p>
    <w:p/>
    <w:p>
      <w:r>
        <w:t xml:space="preserve">TEMPO DE SERVIÇO — REGIME DA LEI 1.890/53 - CÔMPUTO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no caso, contagem de tempo de serviço contado sob a égide da lei 1890, para efeito de concessão de licença-prêmio, referente ao período de 1948/1958, quando não possuía a condição de servidor autárquico, o que só aconteceu em 1960. - A Jurisprudência deste Tribunal tem se inclinado no sentido da contagem daquele tempo, eis que a própria Reclamada o considera, para outros efeitos, como é o caso de adicional por tempo de serviço. - Ao demais, a alteração do regime não pode prejudicar direitos do empregado, mormente quando tais direitos, na sua maioria lhe foram assegurados. - Dou provimento, para julgar procedente a reclamação, nesse aspecto, de acordo com o pedido, apurando-se o "quantum" em liquidação de sentença. - Embora conhecendo do recurso, pela divergência apontada, ..., "in fine", a ele nego provimento. Proc. TST-RR-4.609/77. Julgado em 18-4-1978 Arquivo do Ementário Forense, TST/705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Considera-se o tempo de serviço prestado sob a égide da Lei 1.890/53, para efeito de gozo e pagamento de licença prêmio.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2026-10-26T04:19:27.162Z</dcterms:created>
  <dcterms:modified xsi:type="dcterms:W3CDTF">2026-10-26T04:19:27.162Z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