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25/09/1977</w:t>
      </w:r>
    </w:p>
    <w:p/>
    <w:p>
      <w:r>
        <w:t xml:space="preserve">EXERCÍCIO DE FUNÇÃO GRATIFICADA — INFLUÊNCIA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Conhecidos os embargos, devem os mesmos ser recebidos, para, reformando-se, "data venia", a r. decisão da Eg. Turma, restabelecer-se o acórdão do Eg. Tribunal Regional, que confirmou a sentença de primeira instância. - A jurisprudência reiterada deste Pleno tem sido razoável ao empregado: ele exerceu, durante longos anos, FUNÇÃO GRATIFICADA, e estava no exercício da mesma quando de sua aposentadoria. - Não se trata, pois, daquelas situações especialíssimas em que o trabalhador pretende, na aposentadoria, receber maior pagamento do que o salário do período de atividade profissional. - Com respaldo nos numerosos pronunciamentos deste Tribunal Superior é que acolho os embargos, na forma já anunciada. Proc. TST-E-RR-3.176/76, Julgado em 26-09-1977 Arquivo do Ementário Forense, TST/506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que exerce durante longos anos "função gratificada", até o momento de seu afastamento do serviço, fez jus à complementação da aposentadoria.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2026-07-28T01:58:25.589Z</dcterms:created>
  <dcterms:modified xsi:type="dcterms:W3CDTF">2026-07-28T01:58:25.589Z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