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21/09/1977</w:t>
      </w:r>
    </w:p>
    <w:p/>
    <w:p>
      <w:r>
        <w:t xml:space="preserve">SUSPENSÃO POR ACIDENTE DO TRABALHO — QUANDO É DEVIDO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... O artigo 475, da CLT, trata de suspensão de contrato de trabalho durante a aposentadoria por invalidez e as conseqüências do seu cancelamento, não isentando o empregador da concessão do aviso prévio. NO MÉRITO - Entendo que o afastamento por motivo de acidente não suspende o contrato de trabalho, apenas interrompendo alguns dos seus efeitos. O tempo, porém, é computável, a teor do artigo 4º, da CLT. No caso sob análise o reclamante trabalhou após a alta e o término do prazo de experiência. Proc. TST-RR-987/77, Julgado em 22-09-1977 Arquivo do Ementário Forense, TST/500 EMENTÁRIO FORENSE. Março, 1978. Ano XXX. Nº 352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contrato de experiência é suspenso em virtude de acidente do trabalho, e se o acidentado presta serviço após ter tido alta e o término do prazo contratual, devido é o aviso prévio. (Ementa modificada pelo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2026-07-28T03:44:42.177Z</dcterms:created>
  <dcterms:modified xsi:type="dcterms:W3CDTF">2026-07-28T03:44:42.177Z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