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14/09/1977</w:t>
      </w:r>
    </w:p>
    <w:p/>
    <w:p>
      <w:r>
        <w:t xml:space="preserve">NECESSIDADE DE ACORDO OU CONTRATO COLETIVO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sustentado que o regime de compensação horária semanal só tem eficácia quando pactuado sob forma normativa, como o impõe a CLT. "A contrário sensu", tal não acontecendo, serão consideradas extraordinárias as horas além do horário diário, não obstante não haja ela sido ultrapassada, na semana, de 48 horas. Devem ser pagas a hora e mais o adicional legal. - Dou provimento, para acrescentar à condenação a parcela do pagamento de hora extraordinária diária. Proc. TST-RR-3.514/76, Julgado em 15-09-1977 VENCIDO O MINISTRO BARATA SILVA Arquivo do Ementário Forense, TST/503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compensação da jornada semanal só vale quando pactuada sob forma normativa. Do contrário cada hora extraordinária diariamente prestada deve ser paga de forma completa, isto é, com o salário majorado pelo adicional.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2026-10-16T16:15:55.383Z</dcterms:created>
  <dcterms:modified xsi:type="dcterms:W3CDTF">2026-10-16T16:15:55.383Z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