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EMPREGADOS DO ESTADO</w:t>
      </w:r>
    </w:p>
    <w:p>
      <w:r>
        <w:rPr>
          <w:i/>
          <w:iCs/>
          <w:color w:val="666666"/>
        </w:rPr>
        <w:t xml:space="preserve">SERVIDORES DE CARÁTER TEMPORÁRIO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14/09/1977</w:t>
      </w:r>
    </w:p>
    <w:p/>
    <w:p>
      <w:r>
        <w:t xml:space="preserve">NECESSIDADE DE ACORDO OU CONTRATO COLETIVO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sustentado que o regime de compensação horária semanal só tem eficácia quando pactuado sob forma normativa, como o impõe a CLT. "A contrário sensu", tal não acontecendo, serão consideradas extraordinárias as horas além do horário diário, não obstante não haja ela sido ultrapassada, na semana, de 48 horas. Devem ser pagas a hora e mais o adicional legal. - Dou provimento, para acrescentar à condenação a parcela do pagamento de hora extraordinária diária. Proc. TST-RR-3.514/76, Julgado em 15-09-1977 VENCIDO O MINISTRO BARATA SILVA Arquivo do Ementário Forense, TST/503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compensação da jornada semanal só vale quando pactuada sob forma normativa. Do contrário cada hora extraordinária diariamente prestada deve ser paga de forma completa, isto é, com o salário majorado pelo adicional.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2026-07-28T01:57:24.590Z</dcterms:created>
  <dcterms:modified xsi:type="dcterms:W3CDTF">2026-07-28T01:57:24.590Z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