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29/08/1977</w:t>
      </w:r>
    </w:p>
    <w:p/>
    <w:p>
      <w:r>
        <w:t xml:space="preserve">SE É POSSÍVEL A CONVERSÃO DAS EXTRAORDINÁRIAS EM ORDINÁRIAS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que, por lei, tem natureza extraordinária não se transmuda em ordinária, por força da habitualidade. Esta, demonstra a taciturnidade, válida para os ajustes que a lei não exige sejam expressas, como acontece com as gratificações. No caso, do trabalho suplementar, ao contrário, a CLT impõe a forma escrita do pacto para a prestação de horas extras. - Invertem-se os termos da equação e ver-se-á a procedência do argumento. Se as horas extraordinárias forem avençadas, como tais, por escrito no contrato, não se transformariam em ordinárias, pelo decurso do tempo. - Além do mais, o limite máximo da jornada é universal, em proteção ao empregado. Mantê-lo e maior; contra a Constituição, não é dado do Juiz. - Reduzir o horário ao normal, subsistindo o mesmo salário, será majorar este em dissídio individual, o que é vedado pela mesma Constituição, que só atribui o poder normativo aos Tribunais do Trabalho. - Enfim, formo, por essas razões, entre os que não reconhecem a obrigação da integração do extraordinário habitual no ordinário de lei ou do contrato. O mal reside em que a legislação brasileira é a única do mundo que não limita, no tempo, a prestação do trabalho extraordinário. - Dou provimento, para julgar a reclamação improcedente. Proc. TST-RR-1.602/77, Julgado em 30-08-1977 VENCIDOS OS MINISTROS ARY CAMPISTA E BARATA SILVA Arquivo do Ementário Forense, TST/501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que, por lei, é de natureza extraordinária não se transmuda em ordinária pela habitualidade e pelo decurso do tempo. O que se convenciona de forma expressa não se modifica pela taciturnidade. O contrário é que é possível, quando a lei não exige a forma expressa para o ajuste, como no caso das gratificações, que não têm símile com a hipótese do chamado extraordinário habitual.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2026-10-16T17:22:17.658Z</dcterms:created>
  <dcterms:modified xsi:type="dcterms:W3CDTF">2026-10-16T17:22:17.658Z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