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29/08/1977</w:t>
      </w:r>
    </w:p>
    <w:p/>
    <w:p>
      <w:r>
        <w:t xml:space="preserve">REMUNERAÇÃO RESPECTIVA — COMO A INTEGRAM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Indiscutível que o reclamante, ao receber a indenização por antigüidade, não teve como base do cálculo sua maior remuneração e sim seu salário acrescido da média das horas extras dos últimos doze meses. Violado, assim, a regra do art. 477 da CLT. - Dou provimento ao recurso para restabelecer a sentença da Junta. Proc. TST-RR-4.077/76, Julgado em 30-08-1977 VENCIDO O MINISTRO HIDELBRANDO BISAGLIA Arquivo do Ementário Forense, TST/515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indenização por antigüidade há que ser calculada sobre a maior remuneração vencida pelo empregado na empresa. Errado o critério que adota a média das horas extras trabalhadas nos últimos 12 meses.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2026-10-16T16:14:49.019Z</dcterms:created>
  <dcterms:modified xsi:type="dcterms:W3CDTF">2026-10-16T16:14:49.019Z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