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29/08/1977</w:t>
      </w:r>
    </w:p>
    <w:p/>
    <w:p>
      <w:r>
        <w:t xml:space="preserve">REMUNERAÇÃO RESPECTIVA — COMO A INTEGRAM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Indiscutível que o reclamante, ao receber a indenização por antigüidade, não teve como base do cálculo sua maior remuneração e sim seu salário acrescido da média das horas extras dos últimos doze meses. Violado, assim, a regra do art. 477 da CLT. - Dou provimento ao recurso para restabelecer a sentença da Junta. Proc. TST-RR-4.077/76, Julgado em 30-08-1977 VENCIDO O MINISTRO HIDELBRANDO BISAGLIA Arquivo do Ementário Forense, TST/515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por antigüidade há que ser calculada sobre a maior remuneração vencida pelo empregado na empresa. Errado o critério que adota a média das horas extras trabalhadas nos últimos 12 meses.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2026-07-28T01:53:44.407Z</dcterms:created>
  <dcterms:modified xsi:type="dcterms:W3CDTF">2026-07-28T01:53:44.407Z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