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04/10/1977</w:t>
      </w:r>
    </w:p>
    <w:p/>
    <w:p>
      <w:r>
        <w:t xml:space="preserve">SEU CARÁTER SALARIAL PARA O EFEITO DA INCIDÊNCIA DOS AUMENTOS NORMATIVOS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dos embargos. - O prêmio de produção, pago regular e continuamente, como é o caso dos autos e proclamou o Eg. TRT, reafirmado a r. sentença originária, é salário. Aliás, já a Suprema Corte, em súmula, assim enunciara. Constitui contraprestação, típica e, assim, sofre a incidência, para majoração, dos instrumentos normativos (sentenças, acordos e convenções coletivas). - Na hipótese "sub judice", constata-se que o prêmio de produção desdobra-se em quantia fixas e em percentuais incidentes sobre as vendas. Aquelas devem ser aumentadas nos termos dos acordos salariais que instruem o pedido. Mas não a parcela do prêmio que tem origem percentual, pena de ocorrer a aplicação de percentual sobre percentual, que levaria, fatalmente, pela contínua elevação, a atingir o próprio valor das importâncias sobre as quais são calculadas. - Recebo, pois, parcialmente os embargos para condenar a empresa no reajustamento das quantias fixas estipuladas a título de prêmio de produção, pela aplicação das normas coletivas cujo cumprimento se pediu, com o pagamento de diferenças vencidas não prescritas e as vincendas como se apurar em execução. Proc. TST-E-RR-4.917/74. Julgado em 05-10-1977 VENCIDOS OS MINISTROS FERNANDO FRANCO, COQUEIJO COSTA, ALVES DE ALMEIDA E ARY CAMPISTA Arquivo do Ementário Forense, TST/496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Prêmio de produção é salário e, como tal, sofre a incidência dos aumentos determinados em sentença normativa, convenções e aumentos coletivos.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2026-07-28T01:32:42.449Z</dcterms:created>
  <dcterms:modified xsi:type="dcterms:W3CDTF">2026-07-28T01:32:42.449Z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