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12/09/1977</w:t>
      </w:r>
    </w:p>
    <w:p/>
    <w:p>
      <w:r>
        <w:t xml:space="preserve">PAGAMENTO DE HORA MÉDIA — QUANDO É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Inadmissível o salário complessivo, configurado pela forma de cálculo de pagamento como estipulado pelo contrato ..., pois da média das dez horas diárias não se especifica o adicional e variações de outras parcelas componentes do salário, sendo que, na hipótese, há de se presumir como não pago o adicional de horas extras. - Por isso, dou provimento ao recurso, para incluir na condenação as diferenças decorrentes do pagamento de 20% sobre as duas horas excedentes de oito, conforme pleiteado na inicial e de acordo com o que se apurar em execução de sentença. Proc. TST-RR-1.699/77, Julgado em 13-09-1977 VENCIDO O MINISTRO FERNANDO FRANCO Arquivo do Ementário Forense, TST/498 N. da R.: A respeito da configuração do SALÁRIO COMPLESSIVO e sua admissibilidade, recomendamos a consulta ao t. HORAS EXTRAORDINÁRIAS, sts. ACORDO ENTRE EMPREGADO E EMPREGADOR, COMISSÃO E COMPENSAÇÃO, e o t. REPOUSO REMUNERADO, st. COMISSIONISTA.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o salário complessivo que, na forma de pagamento de hora média, torne inviável presumir-se tenha sido efetivado o pagamento do adicional de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2026-07-28T01:53:44.865Z</dcterms:created>
  <dcterms:modified xsi:type="dcterms:W3CDTF">2026-07-28T01:53:44.865Z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