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03/08/1977</w:t>
      </w:r>
    </w:p>
    <w:p/>
    <w:p>
      <w:r>
        <w:t xml:space="preserve">SE LHE ASSISTE DIREITO À REDUÇÃO HORÁRIA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horas noturnas, a jurisprudência tem articulado ultimamente, no sentido de que o trabalhador, em turma de revezamento, tem direito ao adicional noturno, embora não tenha direito a redução horária. No caso, eles trabalham em turma de revezamento "sui generis" da Lei 5.811, e não a do revezamento de oito em oito horas. - A Constituição prevê a remuneração maior para o trabalho noturno, mas não assegura a vantagem da redução horária. Quem a assegura é o § 1º do art. 73 da Consolidação. Este § 1º está sujeito à regra genérica de que não aplicam aquelas normas do trabalho noturno às turmas de revezamento. - Pedem uma hora extra de trabalho, em razão da redução. Eles ganham o salário noturno calculado sobre o salário integral que a lei manda pagar, muito mais até. - Dou provimento ao recurso para que se reforme a v. decisão recorrida excluindo da condenação a incidência do adicional de periculosidade sobre triênio e horas extraordinárias noturnas. Proc. TST-RR-4.897/76, Julgado em 04-08-1977 VENCIDO O MINISTRO ORLANDO COUTINHO Arquivo do Ementário Forense, TST/491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em turma de revezamento, tem direito ao adicional noturno, mas não à redução horária.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2026-07-28T03:47:38.623Z</dcterms:created>
  <dcterms:modified xsi:type="dcterms:W3CDTF">2026-07-28T03:47:38.623Z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