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16/11/1977</w:t>
      </w:r>
    </w:p>
    <w:p/>
    <w:p>
      <w:r>
        <w:t xml:space="preserve">NECESSIDADE DE QUE SEJA EMPREGADO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§ 1º do artigo 843 da CLT estatui que é facultado ao empregador fazer-se substituir pelo gerente, ou qualquer outro preposto que tenha conhecimento do fato, e cujas declarações obrigarão o preponente. - O gerente necessariamente é empregado, embora alto-empregado. Como, pois, permitir-se que "outro preposto", possa ser alguém estranho aos quadros da empresa? - Preposto, no referido dispositivo legal, não tem sentido que lhe dá o direito comercial. - Define-o o Dicionário Jurídico de HUMBERTO MAGALHÃES e CRISTÓVÃO TOSTES MALTA como "espécie de empregado que representa o empregador. - É o empregado, a que se atribuíram poderes de representação". - diz DE PLÁCITO E SILVA, no seu 'Vocabulário Jurídico". - Revel e confessa que foi a reclamada, por ilegitimidade "ad processum", dou provimento à revista para julgar a reclamação totalmente procedente. Proc. TST-RR-1.484/77. Julgado em 17-11-1977 Arquivo do Ementário Forense, TST/610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preposto que pode representar o empregador em audiência trabalhista há de ser necessariamente empregado deste.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2026-07-28T03:30:17.098Z</dcterms:created>
  <dcterms:modified xsi:type="dcterms:W3CDTF">2026-07-28T03:30:17.098Z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