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16/11/1977</w:t>
      </w:r>
    </w:p>
    <w:p/>
    <w:p>
      <w:r>
        <w:t xml:space="preserve">NECESSIDADE DE QUE SEJA EMPREGADO DESTE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§ 1º do artigo 843 da CLT estatui que é facultado ao empregador fazer-se substituir pelo gerente, ou qualquer outro preposto que tenha conhecimento do fato, e cujas declarações obrigarão o preponente. - O gerente necessariamente é empregado, embora alto-empregado. Como, pois, permitir-se que "outro preposto", possa ser alguém estranho aos quadros da empresa? - Preposto, no referido dispositivo legal, não tem sentido que lhe dá o direito comercial. - Define-o o Dicionário Jurídico de HUMBERTO MAGALHÃES e CRISTÓVÃO TOSTES MALTA como "espécie de empregado que representa o empregador. - É o empregado, a que se atribuíram poderes de representação". - diz DE PLÁCITO E SILVA, no seu 'Vocabulário Jurídico". - Revel e confessa que foi a reclamada, por ilegitimidade "ad processum", dou provimento à revista para julgar a reclamação totalmente procedente. Proc. TST-RR-1.484/77. Julgado em 17-11-1977 Arquivo do Ementário Forense, TST/610 EMENTÁRIO FORENSE. Julho, 1978. Ano XXX. Nº 356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preposto que pode representar o empregador em audiência trabalhista há de ser necessariamente empregado deste.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2026-10-16T16:09:05.451Z</dcterms:created>
  <dcterms:modified xsi:type="dcterms:W3CDTF">2026-10-16T16:09:05.451Z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