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03/10/1977</w:t>
      </w:r>
    </w:p>
    <w:p/>
    <w:p>
      <w:r>
        <w:t xml:space="preserve">MEDIDA DE CARÁTER GERAL — QUANDO NÃO IMPORTA ALTERAÇÃO UNILATERAL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Entendeu o Regional, confirmando sentença da Junta "a quo" que as horas prestadas em sobre jornada podem ser reduzidas face à medida ter sido adotada pela empresa em caráter geral. Afirma ainda que a prorrogação da jornada normal "ad perpetuam" constitui anomalia e que pode ser alterada por que tem sempre caráter excepcional... DO VOTO - Meu entendimento é que as horas extras podem ser reduzidas, dependendo das condições da empresa. "In casu", a redução foi de caráter geral, não se constituindo em alteração contratual. Proc. TST-RR-7/77, Julgado em 04-10-1977 Arquivo do Ementário Forense, TST/586 N. da R.: A respeito de ser ou não legítima a supressão ou redução das horas extraordinárias habitualmente prestadas, legítima ou não a supressão ou a redução do adicional correspondente mesmo após suprimidas as horas extraordinárias, v. a jurisprudência existente NO MESMO SENTIDO e NO SENTIDO CONTRARIO no st. SUPRESSÃO.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alteração contratual quando a redução do serviço extraordinário é de caráter geral, não atingindo, especificamente, este ou aquele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2026-07-28T01:58:17.986Z</dcterms:created>
  <dcterms:modified xsi:type="dcterms:W3CDTF">2026-07-28T01:58:17.986Z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