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27/11/1977</w:t>
      </w:r>
    </w:p>
    <w:p/>
    <w:p>
      <w:r>
        <w:t xml:space="preserve">PRESTAÇÃO HABITUAL — SE CONTINUA SENDO DEVIDO 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Conheço, pela divergência. - Durante longos quatro anos, trabalhou o reclamante habitualmente em horas extraordinárias, "Se o trabalho extraordinário era feito em caráter permanente, é indiscutível que havia um ajuste tácito, razão porque a supressão do trabalho implicou em lesão contratual, pois provocou redução salarial" como acentua o paradigma, na esteira da jurisprudência predominante neste Colando Pleno. - Recebo os embargos para incluir na condenação o pagamento das horas extras suprimidas, diferenças vencidas e vincendas como pleiteado no item IV da inicial, aplicada a prescrição bienal oportunamente invocada pela reclamada. Proc. TST-E-RR-1.660/76, Julgado em 28-11-1977 VENCIDOS OS MINISTROS COQUEIJO COSTA, LOMBA FERRAZ, FERNANDO FRANCO E MOZART VICTOR RUSSOMANO Arquivo do Ementário Forense, TST/593 N. da R.: V. decisões NO MESMO SENTIDO e NO SENTIDO CONTRÁRIO nos mesmos título e subtítulo.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supressão das horas extraordinárias, após trabalhadas por longo tempo (quatro anos) implica redução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2026-07-28T01:44:47.179Z</dcterms:created>
  <dcterms:modified xsi:type="dcterms:W3CDTF">2026-07-28T01:44:47.179Z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