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13/11/1977</w:t>
      </w:r>
    </w:p>
    <w:p/>
    <w:p>
      <w:r>
        <w:t xml:space="preserve">PRESTAÇÃO HABITUAL — SE CONTINUA SENDO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dou provimento porque inviável a supressão das horas extras habituais, prestadas anos a fio, por traduzirem ajuste tácito. - Dou provimento, para restabelecer a sentença de 1º grau. Proc. TST-RR-3.729/77, Julgado em 14-11-1977 VENCIDOS OS MINISTROS COQUEIJO COSTA E LOMBA FERRAZ VOTO DO MINISTRO COQUEIJO COSTA - A pretensão é ao pagamento das quatro horas extras, que seriam habitualmente prestadas. Tenho ponto de vista conhecido: o que, por natureza legal, é extraordinário não se convola em ordinário, pelo passar do tempo. Acima da habitualidade está a lei, que exige forma nela prescrita para que o trabalho extra seja válido. O que ultrapassa do limite legal deve ser pago, em nome do princípio do enriquecimento sem causa. Nunca, porém, aderido ao contrato, permanentemente. - Nego provimento. Arquivo do Ementário Forense, TST/590 N. da R.: V. decisões NO MESMO SENTIDO e NO SENTIDO CONTRÁRIO nos mesmos título e subtítulo.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supressão de horas extras habituais, prestadas anos a fio, por traduzirem ajuste tácito no que tange ao estabelecimento contratual do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2026-10-16T17:17:01.447Z</dcterms:created>
  <dcterms:modified xsi:type="dcterms:W3CDTF">2026-10-16T17:17:01.447Z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