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p>
      <w:r>
        <w:t xml:space="preserve">02. FUNDO DE GARANTIA DO TEMPO DE SERVIÇO</w:t>
      </w:r>
    </w:p>
    <w:p/>
    <w:p>
      <w:pPr>
        <w:pStyle w:val="Heading2"/>
      </w:pPr>
      <w:r>
        <w:rPr>
          <w:b/>
          <w:bCs/>
        </w:rPr>
        <w:t xml:space="preserve">Ementa</w:t>
      </w:r>
    </w:p>
    <w:p>
      <w:r>
        <w:t xml:space="preserve">Art. 20. A conta vinculada do trabalhador no FGTS poderá ser movimentada nas seguintes situações: I - despedida sem justa causa, inclusive a indireta, de culpa recíproca e de força maior; (Incluído pela MP 2.197-43 de 24-08-2001) II - extinção total da empresa, fechamento de quaisquer de seus estabelecimentos, filiais ou agências, supressão de parte de suas atividades, declaração de nulidade do contrato de trabalho nas condições do art. 19-A, ou ainda falecimento do empregador individual sempre que qualquer dessas ocorrências implique rescisão de contrato de trabalho, comprovada por declaração escrita da empresa, suprida, quando for o caso, por decisão judicial transitada em julgado; (Redação dada pela MP 2.164-41 de 24-08-2001) III - aposentadoria concedida pela Previdência Social; IV - falecimento do trabalhador, sendo o saldo pago a seus dependentes, para esse fim habilitados perante a Previdência Social, segundo o critério adotado para a concessão de pensões por morte. Na falta de dependentes, farão jus ao recebimento do saldo da conta vinculada os seus sucessores previstos na lei civil, indicados em alvará judicial, expedido a requerimento do interessado, independente de inventário ou arrolamento; V - pagamento de parte das prestações decorrentes de financiamento habitacional concedido no âmbito do Sistema Financeiro da Habitação (SFH), desde que: a) o mutuário conte com o mínimo de 3 (três) anos de trabalho sob o regime do FGTS, na mesma empresa ou em empresas diferentes; b) o valor bloqueado seja utilizado, no mínimo, durante o prazo de 12 (doze) meses; c) o valor do abatimento atinja, no máximo, 80 (oitenta) por cento do montante da prestação; VI - liquidação ou amortização extraordinária do saldo devedor de financiamento imobiliário, observadas as condições estabelecidas pelo Conselho Curador, dentre elas a de que o financiamento seja concedido no âmbito do SFH e haja interstício mínimo de 2 (dois) anos para cada movime ntação; VII - pagamento total ou parcial do preço da aquisição de moradia própria, observadas as seguintes condições: a) o mutuário deverá contar com o mínimo de 3 (três) anos de trabalho sob o regime do FGTS, na mesma empresa ou empresas diferentes; b) seja a operação financiável nas condições vigentes para o SFH; VIII - quando o trabalhador permanecer três anos ininterruptos, a partir de 1º de junho de 1990, fora do regime do FGTS, podendo o saque, neste caso, ser efetuado a partir do mês de aniversário do titular da conta. (Redação dada pela Lei nº 8.678/93) IX - extinção normal do contrato a termo, inclusive o dos trabalhadores temporários regidos pela Lei nº 6.019, de 3 de janeiro de 1974; X - suspensão total do trabalho avulso por período igual ou superior a 90 (noventa) dias, comprovada por declaração do sindicato representativo da categoria profissional. XI - quando o trabalhador ou qualquer de seus dependentes for acometido de neoplasia maligna. (Incluído pela Lei nº 8.922/94) XII - aplicação em quotas de Fundos Mútuos de Privatização, regidos pela Lei nº 6.385, de 07/12/76, permitida a utilização máxima de 50% (cinqüenta por cento) do saldo existente e disponível em sua conta vinculada do fundo de Garantia do Tempo de Serviço, na data em que exercer a opção.(Inciso incluído pela Lei nº 9.491/97) XIII - quando o trabalhador ou qualquer de seus dependentes for portador do vírus HIV; (Incluído pela MP 2.164-41 de 24-08-2001) XIV - quando o trabalhador ou qualquer de seus dependentes estiver em estágio terminal, em razão de doença grave, nos termos do regulamento; (Incluído pela MP 2.164-41 de 24-08-2001) XV - quando o trabalhador tiver idade igual ou superior a setenta anos. (Incluído pela MP 2.164-41 de 24-08-2001) XVI - necessidade pessoal, cuja urgência e gravidade decorra de desastre natural, conforme disposto em regulamento, observadas as seguintes condições: a) o trabalhador deverá ser residente em áreas compr ovadamente atingidas de Município ou do Distrito Federal em situação de emergência ou em estado de calamidade pública, formalmente reconhecidos pelo Governo Federal; b) a solicitação de movimentação da conta vinculada será admitida até 90 (noventa) dias após a publicação do ato de reconhecimento, pelo Governo Federal, da situação de emergência ou de estado de calamidade pública; e c) o valor máximo do saque da conta vinculada será definido na forma do regulamento. (Acrescentado pela Lei 10.878/2004) Redação anterior: "XVI - necessidade pessoal, cuja urgência e gravidade dec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2026-07-28T01:24:42.732Z</dcterms:created>
  <dcterms:modified xsi:type="dcterms:W3CDTF">2026-07-28T01:24:42.732Z</dcterms:modified>
</cp:coreProperties>
</file>

<file path=docProps/custom.xml><?xml version="1.0" encoding="utf-8"?>
<Properties xmlns="http://schemas.openxmlformats.org/officeDocument/2006/custom-properties" xmlns:vt="http://schemas.openxmlformats.org/officeDocument/2006/docPropsVTypes"/>
</file>