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/>
    <w:p>
      <w:r>
        <w:t xml:space="preserve">RECLAMAÇÃO TRABALHISTA — CONTESTAÇÃO - IMPUGNAÇÃO - HORA EXTRA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 Proc. N.º .... ...., por seu advogado e procurador infra-assinado, nos autos da reclamação trabalhista em que contende com .... e outra, vem muito respeitosamente perante Vossa Excelência, manifestar-se sobre a impugnação da reclamada sobre sua conta de liquidação, consoante as razões que seguem: A) HORAS EXTRAS - FLS. .... Alega a reclamada, sem razão, que somente deveriam ter sido apurados os adicionais de horas extras, eis que estariam pagas a sétima e oitava horas diárias. A sentença liquidanda manda calcular horas extras, e não somente os adicionais destas. No particular, a argumentação não pode ser aceita porque pretende alterar a coisa julgada, o que é vedado na liquidação de sentença. B) REMUNERAÇÃO - FLS. .... Diz a empresa, evasivamente, que está incorreta a apuração da reclamada pois considera verbas que não deveria considerar, sem, no entanto, identificar onde se encontraria o erro. A manifestação, data vênia, é vaga, e inepta, por deixar de informar onde estaria a incorreção. Em verdade, o cálculo da reclamante foi efetuada com a mais absoluta correção, nada havendo a ser alterado. C) REFLEXO NOS DSRs (SÁBADOS) - FLS. .... Correto o cálculo da Reclamante. O valor é devido em face de norma convencional abojada à inicial, e ainda foi deferida na sentença que ora se liquida. D) DIFERENÇA SALARIAL - FLS. .... Os salários estão corretos. Veja-se a respeito a documentação juntada ao feito. E) CORREÇÃO MONETÁRIA - FLS. .... Para o tema, foi utilizada a tabela aceita pelo TRT/SP. A atualização deve obedecer os índices para recomposição, os valores que é o que foi feito pela reclamante. F) ÉPOCA PRÓPRIA - FLS. .... Dois argumentos revelam a fragilidade da argumentação da reclamada. Primeiro, a empresa pagava os salários dentro do mês. Desta forma, a recomposição salarial deve obedecer o critério já anteriormente utilizado pela reclamada, qual seja o pagamento dentro do mês. Em segundo lugar, o que diz a lei a respeito - quinto dia útil - é sobre prazo de pagamento e não sobre a atualização de débitos. O decreto-lei n.º 75/66 foi revogado pela legislação que sobreveio em relação ao tema. G) DESCONTOS - FLS. .... Estes devem ficar por conta da reclamada. A empresa não pagou as verbas nas épocas devidas, impedindo que a reclamante usufruísse dos descontos, limites de contribuição e alíquotas mais favoráveis. FINALIZANDO Solução única que se encontra para o caso é perícia contábil. Requer que seja designada, fixando o juízo os critérios de cálculo, para evitar impugnações desnecessárias. N. Termos, P. Deferimento. ...., .... de .... de .... 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2026-09-10T22:41:07.680Z</dcterms:created>
  <dcterms:modified xsi:type="dcterms:W3CDTF">2026-09-10T22:41:07.680Z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