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Cavalcanti Junior</w:t>
      </w:r>
    </w:p>
    <w:p/>
    <w:p>
      <w:r>
        <w:t xml:space="preserve">RECLAMAÇÃO TRABALHISTA — SEPARADOR DE MERCADORIA - HORA EXTRA - CTPS - VERBAS RESCISÓRIAS - AVISO PRÉVIO - HORA IN ITINERE - ADICIONAL NOTURNO - DEMISSÃO SEM JUSTA CAUSA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PRESIDENTE DA MM. VARA O TRABALHO DE ....... AUTOS N. ...... ........., pessoa jurídica de direito privado, inscrita no CNPJ sob nº .........., com endereço à Av. ....., nº ...., Bairro ......, ......., CEP ......., nos autos de Reclamatória Trabalhista em epígrafe, proposta por ......, por intermédio de seus procuradores ao final assinados, vem, respeitosamente perante Vossa Excelência apresentar a sua DEFESA, o que faz aduzindo as seguintes razões de fato e de direito: DO CONTRATO DE TRABALHO O reclamante foi admitido em .../.../..., para exercer a função de separador de mercadorias. Laborou até .../.../..., ocasião em que operou-se a rescisão imotivada do contrato de trabalho. Recebeu corretamente todas as verbas rescisórias a que fazia jus, inexistindo quaisquer diferenças em favor do reclamante. Último salário: R$ ........ DO AVISO PRÉVIO Depreende-se do anexo documento de aviso prévio, que o reclamante foi dispensado de imediato, recebeu o aviso prévio indenizado. É descabido e impertinente o aduzido na prefacial, pois a reclamada procedeu o desligamento do reclamante na data da concessão do instituto, não havendo que se falar em cumprimento de aviso prévio até .../.../.... Ademais, indevida a retificação da CTPS do reclamante, visto que o aviso prévio integra o tempo de serviço do empregado para efeito de recebimento das verbas rescisórias, no entanto, sem repercussão na anotação da Carteira de Trabalho e Previdência Social, que deve corresponder ao momento em que se deu a dispensa. Rejeita-se o pedido. DA JORNADA DE TRABALHO Laborava o reclamante de Segunda à Sexta-feira, das 8:00hs às 18:00hs, usufruindo de 2:00hs para refeição e descanso. Aos sábados, das 8:00hs às 12:00hs. O autor nunca laborou em regime de horas extras, restando impugnada a jornada de trabalho descrita na inicial, por inverídica em seu teor. Improcede a condenação da re clamada no pagamento de horas extras excedentes da 8ª diária ou da 44ª semanal, adicionais de 50% e 100% e suas repercussões. DAS HORAS IN ITINERE Contrariamente ao alegado na peça de intróito, a reclamada jamais forneceu condução aos seus empregados na habitualidade. Esporadicamente, quando havia algum carro disponível, por mera liberalidade, a reclamada permitia que fossem levados os empregados até as suas residências, tão-somente. Nunca ocorreu de transportá-los de casa para o trabalho. Frise-se que o trajeto sempre foi bem servido de condução pública regular, não sendo aplicável ao caso em tela a Súmula 90 do C. TST, uma vez que não se caracteriza horas in itinere. Neste sentido, vejamos algumas jurisprudências aplicáveis ao caso: "O fornecimento de transporte por mera liberalidade do empregador não gera direito ao pagamento de horas in itinere se o local da prestação de serviços não é de difícil acesso e também servido por transporte coletivo."(Ac. TRT 13ª Reg. Ac 12444, Rel. Juiz Cavalcanti Junior, DJ/PB 13/06/93, Jornal Trabalhista, Ano X, nº 479, p. 965). "Horas in itinere. O Enunciado 90 da Súmula do TST, ao consagrar direito ao recebimento de horas extras correspondentes às horas in itinere, estabeleceu como requisito a prestação de serviço em local de difícil acesso ou não servido por transporte público regular. Tais pressupostos são objetivos e não comportam interpretação que amplie suas hipóteses de aplicação. É irrelevante para a configuração do direito, o fato de o transporte ser escasso em relação à demanda, hipótese não contemplada no referido verbete sumular. Revista parcialmente conhecida e provida."(Ac. TST 5ª T (RR 55956/92.2), Rel. Min. Antonio Amaral, DJU 19/11/93, p. 24779). Ademais, e é fundamental ressaltar, o reclamante morava próximo da reclamada, tanto é que declarou expressamente que não desejava usufruir do benefício do vale-transporte, como se comprova pelo anexo documento. Com efeito, imp rocede o pedido de horas extras a tal título, e suas repercussões. DO ADICIONAL NOTURNO O reclamante jamais laborou em jornada compreendida entre 22:00hs e 5:00hs. Assim, resta improcedente o pedido de adicional noturno de 20% e suas repercussões. Rejeita-se o pedido. DA FUNÇÃO EXERCIDA E DOS SALÁRIOS Contrariamente ao alegado na exordial, o reclamante nunca laborou na função de ajudante de motorista, muito embora tenha sido registrado nesta função. Sempre laborou na função de separador de mercadorias, no depósito da reclamada, e, portanto, o serviço era interno. Nunca efetuou entrega de mercadorias. Sendo assim, sempre 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2026-07-28T01:52:07.228Z</dcterms:created>
  <dcterms:modified xsi:type="dcterms:W3CDTF">2026-07-28T01:52:07.228Z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