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 FEDERAL</w:t>
      </w:r>
    </w:p>
    <w:p>
      <w:r>
        <w:rPr>
          <w:i/>
          <w:iCs/>
          <w:color w:val="666666"/>
        </w:rPr>
        <w:t xml:space="preserve">VENCIMENTO DE MILITAR</w:t>
      </w:r>
    </w:p>
    <w:p/>
    <w:p>
      <w:r>
        <w:rPr>
          <w:b/>
          <w:bCs/>
        </w:rPr>
        <w:t xml:space="preserve">Recurso: </w:t>
      </w:r>
      <w:r>
        <w:t xml:space="preserve">MS 9.964</w:t>
      </w:r>
    </w:p>
    <w:p/>
    <w:p>
      <w:r>
        <w:t xml:space="preserve">DESMEMBRAMENTO DA SERVENTIA — SE VIOLA O PRINCÍPIO DA VITALICIEDADE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Desmembramento de serventia de justiça não viola o princípio de vitaliciedade do serventuário. Referência: - Const. Fed., artigos 65, IV e 187. RMS 9.964, de 30.07.62; RE 47.657, de 21.03.63. Aprovada em Sessão de 13-12-1963 - pág. 48 EMENTÁRIO FORENSE. Dezembro, 1964. Ano XVI. Nº 193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2026-10-26T01:58:35.625Z</dcterms:created>
  <dcterms:modified xsi:type="dcterms:W3CDTF">2026-10-26T01:58:35.625Z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