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REsp 25.307-3-</w:t>
      </w:r>
    </w:p>
    <w:p/>
    <w:p>
      <w:r>
        <w:t xml:space="preserve">AÇÕES QUE RECLAMAM VENCIMENTOS — MUNICÍPIO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hipóteses em que se concede o status de parte a entidades carentes de personalidade jurídica, constituem exceções, que confirmam a regra. - O Superior Tribunal de Justiça já examinou a questão: a egrégia quinta Turma, conduzida pelo e. Ministro JOSÉ DANTAS, proclamou: " - Ilegitimidade passiva. Acerto da decisão que a proclama, a fundo de que pelas obrigações jurídicas impostas à Câmara Municipal responde em juízo o próprio Município" (REsp nº 25.307-3-SP). - O recurso não merece provimento, quanto a este fundamento. - A suposta ofensa à Lei nº 6.899/81 também não ocorreu. - As dívidas relativas à remuneração dos servidores públicos são análogas àquelas provenientes de salários. Por isto, é justo e razoável que se lhes apliquem as normas do DL nº 75/66. - Nego provimento ao recurso. Ac. de 23-06-1993 Rev. do Sup. Tribunal de Justiça - Abril de 1994 - Nº 56 - Pág. 211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em que servidor da Câmara Municipal reclama remunerações de que se julga titular, a relação processual trava-se entre o funcionário e o Município.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2026-07-28T02:22:26.751Z</dcterms:created>
  <dcterms:modified xsi:type="dcterms:W3CDTF">2026-07-28T02:22:26.751Z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