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SUCESSÃO DE EMPRESA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TRF3</w:t>
      </w:r>
    </w:p>
    <w:p/>
    <w:p>
      <w:r>
        <w:t xml:space="preserve">CIPA — REPRESENTANTE - TRANSFERÊNCIA - DEMISSÃO DE REPRESENTANTE DE CIPA - SENTENÇA  -  ART. 10/ADT - REINTEGRAÇÃO - PROVA - VIOLAÇÃO AO PRINCÍPIO DA AMPLA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DA ...ª VARA DO TRABALHO DE ........,....... AUTOS:........ CÓD:.... ........., já qualificado nos autos onde contende com ..............., vem, respeitosamente através de seu procurador judicial ao final assinado interpor RECURSO ORDINÁRIO, segundo as razões inclusas. Presentes os pressupostos de admissibilidade e conhecimento, roga o reclamante o processamento do presente apelo e sua remessa ao TRT ...ª Região para apreciação. N. Termos, P. Deferimento. ........, .../.../... ......... Advogado EGRÉGIO TRIBUNAL REGIONAL DO TRABALHO DA ...ª REGIÃO - ......... RECORRENTE: .............. RECORRIDA: ............... AUTOS de origem: ...ª VARA - n.º ...... RAZÕES DE RECURSO ORDINÁRIO. MERITÍSSIMOS JULGADORES: Não agiu com o habitual acerto o Juízo prolator da r. decisão, ao haver negado a Reintegração/CIPA ao autor, sendo a decisão não concernente com as provas constante dos autos, senão vejamos: 1- REINTEGRAÇÃO AO EMPREGO Inicialmente cabe aqui esclarecer ser dever do Juízo dizer o direito, e não do ora recorrente, cabendo ao recorrente apresentar os fatos e assim o fez requerendo a reintegração do autor, por estar enquadrado este no artigo 10º, II, a, dos atos das disposições constitucionais transitórias. Ora julgadores, a questão posta nos autos se apresenta cristalina, pois ao perseguir a recorrida o enquadramento do ora recorrente no item 5.6 da NR5, "olvidou" alguns pontos de extrema relevância, aos quais passaremos a relatar: Primeiramente ao transferir o autor para ........, em ........., conforme admite a testemunha ouvida pela recorrida Sr. ..........., violou o item 5.14 da NR5, que diz: " Os titulares da representação dos empregados na CIPA não poderão ser transferidos para outra localidade, salvo quando houver concordância expressa dos mesmos". Com este fato impossibilitou intencionalmente o acesso do recorrente às reuniões, e sclarecendo que o autor comparecia em ......... apenas nas datas de audiência, onde era preposto da primeira recorrida, salientando como já dito, o comparecimento do mesmo, pois além de estar ausente da cidade de .........., caberia à ré comprovar a total liberdade sua de ir e vir para a re-ferida cidade, bem como seus comparecimentos constantes na referida empresa, e ainda, a oportunidade para que este pudesse comparecer nas referidas reuniões, visto o fato da natureza constitucional do direito discutido. Outro ponto relevante é o tratamento desigual, imposto ao autor, pois a testemunha ouvida pela recorrida, Sr. ........ disse: " quando mostrado ao depoente os documentos de fls. ... a 97, esclareceu que faltou algumas reuniões mas em número pequeno." Ora julgadores, se a testemunha afirmou que faltou algumas vezes, e não foi punida, gizando-se estar a testemunha laborando em ............. e o recorrido em ........., o que sem sombra de dúvida, dificultava o seu acesso, fere a razoabilidade haver punição para o recorrente, pois representa um ato discriminatório ao empregado. O terceiro item relevante a ser abordado, é a existência de irregularidades na marcação das referidas reuniões, como por exemplo: A reunião de fls. ..., foi realizada aos doze dias do mês de ......, quando no doc. de fls. ... (calendário das reuniões) consta dia .../..., ressaltando-se que , também, no mês de março estava o recorrente em férias, conforme comprovam os documentos juntados pela recorrida. Em ......., conforme reconhece a testemunha Sr. ........, o autor foi dispensado devido ao óbito de seu irmão, salientando-se haver a preposta Sra. ......., em audiência de instrução de Exceção, afirmado não haver o autor prestado serviços em favor da primeira reclamada ..........., quando passou a laborar em ........ Ainda, com o fim de argumentar, caso se entendesse como válido o raciocínio da reclamada, o autor não haveria faltado mais de ... reuniões, não podendo, então se r despedido arbitrariamente. 2-VIOLAÇÃO À CONSTITUIÇÃO POR NÃO OFERTAR DIREITO AO CONTRADITÓRIO E AMPLA DEFESA. É basilar em nosso direito que para qualquer acusado em geral deverá ser oferecida oportunidade para ampla defesa e o contraditório, o que no presente caso não ocorreu, conforme comprovam os documentos colacionados ao caderno processual, sendo tal fato, também, comprovado pelo doc. de fls. ..., aliás, elaborado de forma unilateral, e como já frisado não foi concedida oportunidade ao obreiro para defender-se, o que por si só tornaria irregular a sua despedida. A CF em artigo 5º inciso LV, assim determina: "L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2026-07-28T01:29:10.886Z</dcterms:created>
  <dcterms:modified xsi:type="dcterms:W3CDTF">2026-07-28T01:29:10.886Z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