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/>
    <w:p>
      <w:r>
        <w:t xml:space="preserve">EMBARGOS DE DECLARAÇÃO — HORA EXTRA - ADICIONAL NOTURNO - SENTENÇA OMISSA - ART. 535/CPC - OMISSÃO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 ....ª VARA DO TRABALHO DE .......... Proc. ..../.... ...., neste ato representada por seu advogado e procurador que esta subscreve, nos autos da reclamação trabalhista em que contende com ...., vem perante Vossa Excelência, apresentar EMBARGOS DECLARATÓRIOS, o que faz com fundamento no art. 535, inciso II do CPC e amparo nas razões que a seguir expõe: 1. No item "3.1." do pedido da exordial, o reclamante afirmou que o intervalo de refeição máximo permitido por lei seria de duas horas, consideradas pois hora extra a terceira, bem como afirmou que para apuração de horas extras deveria ser observada a duração da hora noturna para aquelas prestadas a partir das 22 horas. 2. Conquanto a sentença tenha sido preferida com o costumeiro cuidado, omitiu-se no pronunciamento sobre este tema, o que determina que o autor apresente embargos para ver complementada a respeitável decisão de fls. 3. Aguarda, desta forma, sejam acolhidos os embargos e deferidos os pedidos formulados pelo autor.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2026-07-28T01:19:31.437Z</dcterms:created>
  <dcterms:modified xsi:type="dcterms:W3CDTF">2026-07-28T01:19:31.437Z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