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/>
    <w:p>
      <w:r>
        <w:t xml:space="preserve">AUMENTO — QUANDO SE INCORPORA AO PATRIMÔNIO DO SERVIDOR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douto Parecer do Ministério Público, subscrito pelo ilustre Subprocurador-Geral da República, Dr. ANTONIO FERNANDO BARROS E SILVA DE SOUZA, acentua ... a respeito do art. 1º, da Lei Municipal nº 1.016/87: "Não pode haver qualquer dúvida de que se tratava de norma que regulava a política salarial dos servidores municipais que, nas datas e pelo índice indicado, tinham direito líquido e certo ao reajuste nela prevista. Não se tratava de mera autorização, como ficou averbado no acórdão impugnado, mas sim de precisa atribuição de direito aos servidores públicos". - O art. 1º, da Lei nº 1.016/87, estatui: "O reajuste dos vencimentos, salários, proventos, gratificações, remunerações em geral e pensões pagos pelo Município do Rio de Janeiro e suas autarquias far-se-á em 1º de março e 1º de setembro de cada ano, em percentual incidente sobre os valores então vigentes, igual ao da variação do IPC - Índice de Preços ao Consumidor, nos 6 (seis) meses imediatamente anteriores." - Evidenciava-se haver estabelecido critério para o reajuste dos respectivos pagamentos. Determina que seria semestral, com os termos a quo, em 1º de março e 1º de setembro. Tomar-se-ia, como objeto o valor dos vencimentos, salários, proventos, gratificações, remunerações em geral e pensões anteriores ao início do semestre seguinte, majorando-o da variação do IPC, nos seis meses imediatamente anteriores. - Projeta-se, data venia, de corpo inteiro direito líquido e certo dos Impetrantes. É fato notório, de outro lado, que a inflação, nos últimos anos tem elevado o valor da mencionada referência. - Eventuais dificuldades da fonte pagadora, ainda que aumentados em conseqüência de greve dos servidores, não podem refletir de 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aumento dos vencimentos incorpora-se ao patrimônio do funcionário com a vigência da lei. Eventual dificuldade financeira do erário não constitui obstáculo à constituição do direito.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2026-07-28T02:02:14.528Z</dcterms:created>
  <dcterms:modified xsi:type="dcterms:W3CDTF">2026-07-28T02:02:14.528Z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