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Ap. 79/90</w:t>
      </w:r>
    </w:p>
    <w:p>
      <w:r>
        <w:rPr>
          <w:b/>
          <w:bCs/>
        </w:rPr>
        <w:t xml:space="preserve">Tribunal: </w:t>
      </w:r>
      <w:r>
        <w:t xml:space="preserve">TRT-PR</w:t>
      </w:r>
    </w:p>
    <w:p/>
    <w:p>
      <w:r>
        <w:t xml:space="preserve">PRESCRIÇÃO — PAGAMENTO - VERBAS RESCISÓRIAS - EXTINÇÃO DO PROCESSO - IMPROCEDÊNCIA DOS PEDIDOS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..................... ...., pessoa jurídica de direito privado, com sede na Rua .... nº ...., em ...., por seus procuradores judiciais infra-assinados, inscritos na OAB, Seção do .... sob nºs .... e ...., nos autos (nº .../...), da Ação Trabalhista promovida por ...., já qualificado, vem mui respeitosamente, perante Vossa Excelência oferecer DEFESA, segundo os motivos de fato e de direito que expõe: Pretende o Reclamante o recebimento de horas extras, com reflexos em adicional de 100%, declaração de ilegitimidade do sindicato e conseqüente reversão salarial e contribuição confederativa, equiparação salarial, verbas rescisórias, indenização equivalente a um ano de trabalho, com reflexos, indenização a título de auxílio alimentação, multa prevista na cláusula 35ª da CCT; FGTS 11,2% sobre as verbas postuladas, honorários advocatícios, juros e correção monetária. Todavia, os pedidos são improcedentes, segundo será demonstrado e provado nesta petição e no curso da lide: 1) HORAS EXTRAS - REFLEXOS - ADICIONAL DE 100% Impugna-se a jornada declinada na petição inicial, tendo em vista que não corresponde à realidade. Por todo o período a reclamante laborou no horário das .... às .... horas, exceção de alguns dias em .... de ...., quando trabalhou no horário das .... a .... hora. Toda a jornada laborada pela ex-empregada está anotada nas fichas ponto, as quais são juntadas nesta oportunidade, inexistindo o alegado "controle a parte". A única oportunidade em que a reclamante elasteceu seu trabalho diário foi em ...., quando laborou duas horas a mais nos dias .... e ...., cujas horas foram pagas conforme recibo de pagamento daquele mês. Portanto, não procedem as alegações de que a Reclamante trabalhava 44 horas semanais, tampouco, que foi contratada para tanto, além do que, inexistiu elastecimento de jornada, nem trabalho em dois turnos. No período em que a reclamante trabalhou no h orário noturno (... de .... - alguns dias) houve o pagamento do respectivo adicional, considerando-se a redução da hora noturna e os intervalos concedidos, conforme demonstra o recibo de pagamento. A jornada de trabalho da ex-obreira era de .... a ...., sendo inverídica a alegação de trabalho em domingos e dias destinados ao repouso. Além disso, a reclamante tinha intervalos de dez minutos para descanso a cada cincoenta minutos trabalhados. Não são devidos como suplementares, uma vez que a reclamante sempre usufruiu de tais descansos. Por não serem devidas as horas extras, os intervalos, por inexistir trabalho prestado em domingos e dias de descanso, e pelo pagamento do adicional noturno, não há que se falar em reflexos em repouso semanal remunerado e integrações para cálculo de férias, adicional de 1/3, 13º salário, aviso prévio, multas e indenizações. Por todos os motivos expostos, não procede o pedido de pagamento de trabalho suplementar. Mesmo assim, impugna-se os adicionais pretendidos, posto que inexiste fundamento legal ou convencional para o pleito, uma vez que os instrumentos normativos juntados não se aplicam à espécie. a. DIFERENÇAS SALARIAIS Inobstante a prescrição das parcelas postuladas, por uma questão de cautela, a reclamada impugna o pleito formulado pela ex-empregada. Preliminarmente, o pedido de diferenças salariais é inepto, pois muito embora a ex-empregada aponte os percentuais que entende aplicáveis aos salários, não demonstrou a existência de diferenças salariais, limitando-se a alegar a existência de diferenças, sem no entanto, demonstrar matematicamente que a reclamada violou os instrumentos normativos e a legislação de política salarial deixando de conceder os reajustes pretendidos. Destarte, o pedido deve ser rejeitado, por ausência de fundamentação. No mérito, os pedidos devem limitar-se a cinco anos da data da distribuição do feito, ou seja, estão integralmente prescritas as postulações anteriore s a .... Outrossim, as diferenças salariais improcedem, porque a reclamada concedeu todos os reajustes previstos pelos Dissídios e Convenções Coletivas de Trabalho, além de ter aplicado todos os índices previstos na legislação de política salarial da época. A planilha anexa demonstra que a reclamada concedeu aumentos salariais superiores ao que postula a reclamante, inexistindo direito aos reajustes pretendidos. No que pertine à aplicação das Leis 8222/91, 8419/92, 8542/92 e 8700/93 as diferenças também não são procedentes, eis que a reclamada aplicou os reajustes consignados, consoa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2026-07-28T01:21:50.443Z</dcterms:created>
  <dcterms:modified xsi:type="dcterms:W3CDTF">2026-07-28T01:21:50.443Z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