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Ap. 79/90</w:t>
      </w:r>
    </w:p>
    <w:p>
      <w:r>
        <w:rPr>
          <w:b/>
          <w:bCs/>
        </w:rPr>
        <w:t xml:space="preserve">Tribunal: </w:t>
      </w:r>
      <w:r>
        <w:t xml:space="preserve">TRT-PR</w:t>
      </w:r>
    </w:p>
    <w:p/>
    <w:p>
      <w:r>
        <w:t xml:space="preserve">PRESCRIÇÃO — PAGAMENTO - VERBAS RESCISÓRIAS - EXTINÇÃO DO PROCESSO - IMPROCEDÊNCIA DOS PEDIDOS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..................... ...., pessoa jurídica de direito privado, com sede na Rua .... nº ...., em ...., por seus procuradores judiciais infra-assinados, inscritos na OAB, Seção do .... sob nºs .... e ...., nos autos (nº .../...), da Ação Trabalhista promovida por ...., já qualificado, vem mui respeitosamente, perante Vossa Excelência oferecer DEFESA, segundo os motivos de fato e de direito que expõe: Pretende o Reclamante o recebimento de horas extras, com reflexos em adicional de 100%, declaração de ilegitimidade do sindicato e conseqüente reversão salarial e contribuição confederativa, equiparação salarial, verbas rescisórias, indenização equivalente a um ano de trabalho, com reflexos, indenização a título de auxílio alimentação, multa prevista na cláusula 35ª da CCT; FGTS 11,2% sobre as verbas postuladas, honorários advocatícios, juros e correção monetária. Todavia, os pedidos são improcedentes, segundo será demonstrado e provado nesta petição e no curso da lide: 1) HORAS EXTRAS - REFLEXOS - ADICIONAL DE 100% Impugna-se a jornada declinada na petição inicial, tendo em vista que não corresponde à realidade. Por todo o período a reclamante laborou no horário das .... às .... horas, exceção de alguns dias em .... de ...., quando trabalhou no horário das .... a .... hora. Toda a jornada laborada pela ex-empregada está anotada nas fichas ponto, as quais são juntadas nesta oportunidade, inexistindo o alegado "controle a parte". A única oportunidade em que a reclamante elasteceu seu trabalho diário foi em ...., quando laborou duas horas a mais nos dias .... e ...., cujas horas foram pagas conforme recibo de pagamento daquele mês. Portanto, não procedem as alegações de que a Reclamante trabalhava 44 horas semanais, tampouco, que foi contratada para tanto, além do que, inexistiu elastecimento de jornada, nem trabalho em dois turnos. No período em que a reclamante trabalhou no h orário noturno (... de .... - alguns dias) houve o pagamento do respectivo adicional, considerando-se a redução da hora noturna e os intervalos concedidos, conforme demonstra o recibo de pagamento. A jornada de trabalho da ex-obreira era de .... a ...., sendo inverídica a alegação de trabalho em domingos e dias destinados ao repouso. Além disso, a reclamante tinha intervalos de dez minutos para descanso a cada cincoenta minutos trabalhados. Não são devidos como suplementares, uma vez que a reclamante sempre usufruiu de tais descansos. Por não serem devidas as horas extras, os intervalos, por inexistir trabalho prestado em domingos e dias de descanso, e pelo pagamento do adicional noturno, não há que se falar em reflexos em repouso semanal remunerado e integrações para cálculo de férias, adicional de 1/3, 13º salário, aviso prévio, multas e indenizações. Por todos os motivos expostos, não procede o pedido de pagamento de trabalho suplementar. Mesmo assim, impugna-se os adicionais pretendidos, posto que inexiste fundamento legal ou convencional para o pleito, uma vez que os instrumentos normativos juntados não se aplicam à espécie. a. DIFERENÇAS SALARIAIS Inobstante a prescrição das parcelas postuladas, por uma questão de cautela, a reclamada impugna o pleito formulado pela ex-empregada. Preliminarmente, o pedido de diferenças salariais é inepto, pois muito embora a ex-empregada aponte os percentuais que entende aplicáveis aos salários, não demonstrou a existência de diferenças salariais, limitando-se a alegar a existência de diferenças, sem no entanto, demonstrar matematicamente que a reclamada violou os instrumentos normativos e a legislação de política salarial deixando de conceder os reajustes pretendidos. Destarte, o pedido deve ser rejeitado, por ausência de fundamentação. No mérito, os pedidos devem limitar-se a cinco anos da data da distribuição do feito, ou seja, estão integralmente prescritas as postulações anteriore s a .... Outrossim, as diferenças salariais improcedem, porque a reclamada concedeu todos os reajustes previstos pelos Dissídios e Convenções Coletivas de Trabalho, além de ter aplicado todos os índices previstos na legislação de política salarial da época. A planilha anexa demonstra que a reclamada concedeu aumentos salariais superiores ao que postula a reclamante, inexistindo direito aos reajustes pretendidos. No que pertine à aplicação das Leis 8222/91, 8419/92, 8542/92 e 8700/93 as diferenças também não são procedentes, eis que a reclamada aplicou os reajustes consignados, consoa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2026-10-16T16:05:52.158Z</dcterms:created>
  <dcterms:modified xsi:type="dcterms:W3CDTF">2026-10-16T16:05:52.158Z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