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16/06/2003</w:t>
      </w:r>
    </w:p>
    <w:p/>
    <w:p>
      <w:r>
        <w:t xml:space="preserve">FALTA DE MENÇÃO DE DISPOSITIVO LEGAL NÃO VIOLADO — SE IMPLICA, POR SI SÓ, EM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sustenta a nulidade da decisão recorrida alegando que não foi apreciado o fundamento de sua ação rescisória com base no inciso V do artigo 485 do CPC, mais precisamente quanto à violação do artigo 394 do mesmo diploma legal. - Todavia, o acórdão recorrido foi expresso ao afastar as violações suscitadas pela parte, conforme se vê à fl., "verbis": "No processo vertente não encontramos as violações apontadas pela autora, com força de desconstituir a decisão rescindenda." - Portanto, embora não tenha feito menção expressa ao dispositivo apontado pela Autora, o fato não enseja a nulidade pretendida, principalmente em razão da ampla devolutividade da matéria impugnada em sede de recurso ordinário. - Assim, inexiste prejuízo para a Recorrente, atraindo a aplicação do artigo 794 da CLT. - Rejeito , pois, a preliminar. Julgado em 17-06-2003, DJ de 01-08-2003 Arquivo do EMFOR, TST/N 6221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794 da CLT. - O fato de o julgador não haver mencionado, de forma expressa, o dispositivo de lei tido por não violado não implica, por si só, nulidade da decisão recorrida. - Ademais, a devolutividade ampla da matéria impugnada via recurso ordinário afasta qualquer prejuízo para a parte que argüiu a nulidade.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2026-10-16T17:19:18.736Z</dcterms:created>
  <dcterms:modified xsi:type="dcterms:W3CDTF">2026-10-16T17:19:18.736Z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