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03/06/2003</w:t>
      </w:r>
    </w:p>
    <w:p/>
    <w:p>
      <w:r>
        <w:t xml:space="preserve">MOMENTO OPORTUNO — EMBARGOS DECLARATÓRIOS REJEITADO - HIPÓTESE DE PRECLUSÃO CONSUMATIVA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os embargos não se sustentam. Em primeiro lugar porque a revista também foi conhecida pelo paradigma de fls.; e, além disso porque o eventual incidente de falsidade deveria ter sido veiculado na primeira oportunidade que a Embargante teria para falar nos autos no caso, as contra-razões. - Com efeito, o art. 390 do CPC alude à possibilidade de o incidente de falsidade ser argüido em qualquer tempo e grau de jurisdição. Todavia, o aludido preceito legal define o momento processual para a sua argüição, cabendo à Parte prejudicada suscitá-lo na contestação ou no prazo de dez dias da intimação de sua juntada. - No caso, o suposto documento falso foi juntado nas razões da revista, sendo que a Recorrida não teceu nas contra-razões uma única linha sequer sobre a suposta falsidade do aresto colacionado (fls.), de modo que se operou a preclusão consumativa dos atos processuais (CPC, art. 183). - De qualquer forma, a revista tinha lastro para conhecimento por outro paradigma, o que torna inócua a pretensa falsidade de outros arestos. - Logo, REJEITO os embargos declaratórios. Julgado em 04-06-2003, DJ de 20-06-2003 Arquivo do EMFOR, TST/N 6222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390 do CPC alude à possibilidade de o incidente de falsidade ser argüido em qualquer tempo e grau de jurisdição. - Todavia, o aludido preceito legal define o momento processual para a sua argüição, cabendo à Parte prejudicada suscitá-lo na contestação ou no prazo de dez dias da intimação de sua juntada. - No caso, o suposto documento falso foi juntado nas razões da revista, sendo que a Recorrida não teceu uma única linha sequer sobre a suposta falsidade nas suas contra-razões, de modo que se operou a preclusão consumativa dos atos processuais (CPC, art. 183).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2026-10-16T16:09:11.153Z</dcterms:created>
  <dcterms:modified xsi:type="dcterms:W3CDTF">2026-10-16T16:09:11.153Z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