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Julgado em: </w:t>
      </w:r>
      <w:r>
        <w:t xml:space="preserve">24/05/2000</w:t>
      </w:r>
    </w:p>
    <w:p/>
    <w:p>
      <w:r>
        <w:t xml:space="preserve">VALOR ATRIBUÍDO A DOCUMENTOS DIVERSO DO PRETENDIDO PELA PARTE —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recorrente que houve cerceio de defesa pelo não acolhimento das provas documentais juntadas. Sem razão, contudo. - O não convencimento do Colegiado a quo pela tese esposada pelo reclamado que, embasada nos documentos juntados, pugnava pela desconsideração da mesma como instituição financeira, não configura cerceio de defesa, mas mero exercício da jurisdição. - Cerceio de defesa haveria se o Juízo indeferisse injustificadamente a juntada dos documentos, o que não foi o caso dos autos. - Rejeito a preliminar Julgado em 25-05-2000. Ac. nº 5624/2000. Arquivo do EMFOR, TRT/N 6228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falar em cerceio de defesa quando, no exercício da jurisdição, o juízo atribui um valor probante aos documentos juntados pela parte diferente do que ela havia desejado.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2026-10-16T16:09:43.220Z</dcterms:created>
  <dcterms:modified xsi:type="dcterms:W3CDTF">2026-10-16T16:09:43.220Z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