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Julgado em: </w:t>
      </w:r>
      <w:r>
        <w:t xml:space="preserve">24/05/2000</w:t>
      </w:r>
    </w:p>
    <w:p/>
    <w:p>
      <w:r>
        <w:t xml:space="preserve">VALOR ATRIBUÍDO A DOCUMENTOS DIVERSO DO PRETENDIDO PELA PARTE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houve cerceio de defesa pelo não acolhimento das provas documentais juntadas. Sem razão, contudo. - O não convencimento do Colegiado a quo pela tese esposada pelo reclamado que, embasada nos documentos juntados, pugnava pela desconsideração da mesma como instituição financeira, não configura cerceio de defesa, mas mero exercício da jurisdição. - Cerceio de defesa haveria se o Juízo indeferisse injustificadamente a juntada dos documentos, o que não foi o caso dos autos. - Rejeito a preliminar Julgado em 25-05-2000. Ac. nº 5624/2000. Arquivo do EMFOR, TRT/N 6228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cerceio de defesa quando, no exercício da jurisdição, o juízo atribui um valor probante aos documentos juntados pela parte diferente do que ela havia desejado.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2026-07-28T01:47:30.363Z</dcterms:created>
  <dcterms:modified xsi:type="dcterms:W3CDTF">2026-07-28T01:47:30.363Z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