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NEGATIVA DE PRESTAÇÃO JURISDICIONAL</w:t>
      </w:r>
    </w:p>
    <w:p/>
    <w:p>
      <w:r>
        <w:rPr>
          <w:b/>
          <w:bCs/>
        </w:rPr>
        <w:t xml:space="preserve">Recurso: </w:t>
      </w:r>
      <w:r>
        <w:t xml:space="preserve">MANDADO DE SEGURANÇA .</w:t>
      </w:r>
    </w:p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08/10/2003</w:t>
      </w:r>
    </w:p>
    <w:p/>
    <w:p>
      <w:r>
        <w:t xml:space="preserve">DEPOSITÁRIO DE CRÉDITO PERTENCENTE A TERCEIRO — AGRAVO DE PETIÇÃO NÃO CONHECIDO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..., verifica-se que a lide estabeleceu-se entre as partes já nominadas, as quais compuseram o litígio, nos termos da conciliação de fl., no valor de R$ 12.127,45. - Inadimplido o acordo, a Executada ofereceu, como garantia ao pagamento do Exeqüente, o crédito da empresa SS C. e E. Ltda, existente perante a SEDUC - Secretaria de Estado da Educação (fls.). Expedido o Mandado de Bloqueio, Penhora e Levantamento de fl., constando o nome da Reclamada SS I., E., C. e R. Ltda, a referida ordem fora devolvida com certidão do Sr. Oficial de Justiça (fl.), narrando as justificativas do não-cumprimento, tendo a SEDUC remetido o ofício de fl., contendo algumas explicações acerca da caducidade do empenho, com inclusão do crédito em "restos a pagar", salientando que aquele órgão se encontrava ciente do bloqueio pertinente ao presente feito, de sorte que a penhora poderia ser efetivada quando houvesse disponibilidade orçamentária. Atualizados os cálculos (fl.), o Exeqüente peticionou às fls., requerendo alteração do nome da Executada, contido na Guia de Depósito Judicial, para a firma credora perante o Estado, dada a recusa deste, em face da divergência nas denominações das pessoas jurídicas, com se vê nos documentos de fls. 88-89, tendo o d. Juízo de origem reconhecido a existência de grupo econômico, mediante despacho de fl., pelo que deferiu o pedido. Todavia, no Mandado de Verificação, Levantamento e Penhora de fl. constou, novamente, a razão comercial da Reclamada, sendo procedida a penhora dos créditos junto à SEDUC, nos termos do Auto de fl.. Por sua vez, a Sr.ª. Secretária Adjunta remeteu o ofício de fl., informando que fora enviada, em data de 20.10.98, ao Banco do Brasil, a Programação de Desembolso (DP)nº 3943/98, para fins de pagamento da penhora. Porém, a despeito dessa informação, a Secretaria Estadual de Fazenda comunicou, pelo ofício de fl., que não houve autorização para o pagamento da PD nº 3943/98, e, ainda, aduziu a falta de disponibilidade financeira para cobrir as despesas das penhoras existentes. - Após várias diligências, com o objetivo de levantamento do valor penhorado, no decorrer de cinco anos, observa-se que todas restaram infrutíferas, ora sob o argumento de ausência de recursos financeiros do Estado, ora sob a alegação de que a empresa SS I., E. e R. Ltda não possui crédito a receber, a exemplo dos documentos de fls.. - Nesse contexto, o d. Juízo resolveu determinar o seqüestro e levantamento, na conta Fundo de Participação do Estado de Rondônia, da quantia especificada no Auto de Penhora de fl., para fins de pagamento dos créditos do Reclamante, conforme despacho de fl. e Mandado de fl. - Em face do ato, o Estado aviou o presente Agravo de Petição, alegando as matérias de direito asseveradas anteriormente. - "A priori", constata-se que, embora a empresa executada tenha oferecido, por sua vontade, como garantia da execução, os créditos pertencentes a outra integrante do grupo econômico, como reconheceu o despacho de fl., e mesmo o Reclamante tendo se manifestado, por algumas vezes, no sentido de que os créditos junto ao Estado se encontravam em nome de outra empresa, cuja denominação é diversa da Executada neste feito, não se verifica, em qualquer dos mandados expedidos pelo Juízo, o nome da empresa SS C. e E. Ltda, conforme fora indicado pela própria Reclamada, de modo que se explica a razão da alegada inexistência de créditos da Executada perante a SEDUC, e, por vezes, tal fato prejudicou a solução do fei to. - Contudo, a despeito de tal equívoco, e dada a presença de grupo econômico, com empresas de nomes praticamente semelhantes, não se pode negar a validade e subsistência daquela penhora realizada pelo Auto de fl., em 09.12.98, muito menos se justifica a resistência adotada pelo Estado, permanecendo renitentemente na tese de falta de recursos financeiros para saldar a dívida. - Assim sendo, detecta-se, pela exposição fática acima, que a relação de direito material controvertida nos autos, tendo sua origem no vínculo de emprego mantido entre o Reclamante e a Reclamada, não revela qualquer interesse jurídico do Estado de Rondônia em participar da lide, contribuindo para a decisão do litígio em favor de uma das partes, tanto que em momento algum se fez presente no processo de conhecimento, mas apenas permitiu a realização de uma penhora sobre débitos que mantinha com a então empregadora do Obreiro, a seu tempo devedora do ex-empregado. - Desse modo, há de se perquirir acerca de qual interesse pro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integrando o Ente Público o pólo passivo da relação jurídica, mas figurando na execução apenas como depositário de quantia monetária penhorada, pertencente à executada, efetiva empregadora do Obreiro, não lhe assiste legitimidade recursal para a interposição de Agravo de Petição, do qual não se conhece, uma vez que desprovido do pressuposto objetivo de admissibilidade, atinente à adequação.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2026-07-28T01:46:39.102Z</dcterms:created>
  <dcterms:modified xsi:type="dcterms:W3CDTF">2026-07-28T01:46:39.102Z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