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re 01.01.86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11/05/1997</w:t>
      </w:r>
    </w:p>
    <w:p/>
    <w:p>
      <w:r>
        <w:t xml:space="preserve">PROMOÇÃO AO CARGO DE GERENTE/SUPERVISOR — QUANDO NÃO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gratificação denominada "quebra-de-caixa" tem como causa o desempenho de atividades relacionadas com serviços inerentes à tesouraria. - Nesta hipótese, o recorrido fez jus ao pagamento do título durante o período compreendido entre 01.01.86 e 06.03.92, data em que foi transferido para o Núcleo de Controle de Veículos, onde passou a exercer a função gratificada de supervisor, conforme se depreende dos documentos de fls.. Porém, continuou percebendo a gratificação "quebra-de-caixa" até o dia 30.09.92, fato que dificilmente ocorreria na esfera privada e que deve ser tributado à incúria dos administradores da empresa, observação reforçada na medida em que se verifica a existência de resolução do Superintendente de Pessoal da recorrente, datada de 12.03.87, versando sobre a matéria e que, diga-se de passagem, compreendeu o exato alcance do Enunciado 247 da Súmula do TST. - Com efeito, a orientação jurisprudencial sumulada pelo TST dispõe, literalmente , que "a parcela paga aos bancários sob a denominação quebra-de-caixa possui natureza salarial, integrando o salário do prestador de serviços, para todos os efeitos legais". - Parece-nos evidente que o Enunciado parte do pressuposto de que o empregado faz jus ao título enquanto exercente de função que envolva o manuseio de numerário. - Assim, as prestações sucessivas que lhe forem creditadas, a exemplo de férias e depósitos fundiários, bem como as verbas rescisórias e proventos de aposentadoria, devem tomar como base de cálculo o salário acrescido da gratificação, assegurando-se-lhe, dessa forma, a estabilidade financeira. - Todavia, não nos parece lógico obrigar-se um estabelecimento bancário a continuar pagando aquela gratificação a tesoureiro promovido ao cargo de gerente. - Ante o expo sto, dou provimento ao recurso para reformar a decisão e julgar a reclamação improcedente. Julgado em 12-05-1997. DJ de 31-05-1997. Arquivo do EMFOR, TRT/N 6231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faz jus à gratificação por quebra de caixa quando exercente de função que envolva o manuseio de numerário.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2026-07-28T04:32:50.934Z</dcterms:created>
  <dcterms:modified xsi:type="dcterms:W3CDTF">2026-07-28T04:32:50.934Z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