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Relator: </w:t>
      </w:r>
      <w:r>
        <w:t xml:space="preserve">Inaplicáveis</w:t>
      </w:r>
    </w:p>
    <w:p/>
    <w:p>
      <w:r>
        <w:t xml:space="preserve">ATIVIDADE INCONSTANTE COMO CAIXA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Alega, a embargante, que as testemunhas informaram que a recorrente exercia a função de caixa, não tendo o Juízo "a quo" valorado corretamente a prova produzida. Salienta que o fato da reclamante exercer cargo de confiança é irrelevante, vez que não recebia qualquer plus salarial daí decorrente. Transcreve jurisprudência. Não vinga a inconformidade. - Efetivamente restou demonstrado que a reclamante recebia pela venda de ingressos e de mensalidades sociais. Contudo, não há como se interpretar que tais atividades, dentre outras desempenhadas, gerassem o direito a percepção a gratificação prevista nas normas coletivas juntadas. - Como já referido pelo Juízo de primeiro grau, a gratificação em tela visa compensar o empregado por eventuais perdas que sofrer no exercício da função de caixa. Busca indenizar eventual prejuízo sofrido em frente a responsabilidade com numerário. - No presente caso, entretanto, a recorrente não permanecia durante toda a jornada recebendo pagamentos. - A prova produzida demonstra que tal atividade dava-se nas oportunidades em que haviam jantares promovidos pela ré, não laborando constantemente como caixa, de modo a amparar sua pretensão. - Adota-se como razões de decidir os mesmos fundamentos esposados em primeira instância, pois em consonância com o entendimento desta Relatora. Inaplicáveis, ainda, como subsídio jurisprudencial, as decisões transcritas nas razões recursais, relativos a categoria dos bancários. - Nego provimento ao apelo. Julgado em 28-11-200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em tela visa compensar o empregado por eventuais perdas que sofrer no exercício da função de caixa. - A recorrente não permanecia durante toda a jornada recebendo pagamentos. A prova produzida demonstra que tal atividade dava-se nas oportunidades em que haviam jantares promovidos pela ré, não laborando constantemente como caixa, de modo a amparar sua pretensão.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2026-10-16T17:19:22.491Z</dcterms:created>
  <dcterms:modified xsi:type="dcterms:W3CDTF">2026-10-16T17:19:22.491Z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