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Julgado em: </w:t>
      </w:r>
      <w:r>
        <w:t xml:space="preserve">05/11/2003</w:t>
      </w:r>
    </w:p>
    <w:p/>
    <w:p>
      <w:r>
        <w:t xml:space="preserve">INCORPORAÇÃO AO CONTRATO DE TRABALHO</w:t>
      </w:r>
    </w:p>
    <w:p/>
    <w:p>
      <w:pPr>
        <w:pStyle w:val="Heading2"/>
      </w:pPr>
      <w:r>
        <w:rPr>
          <w:b/>
          <w:bCs/>
        </w:rPr>
        <w:t xml:space="preserve">Resumo</w:t>
      </w:r>
    </w:p>
    <w:p>
      <w:r>
        <w:t xml:space="preserve">- ........................................ - O tribunal, ao julgar dissídio coletivo posterior, tem que respeitá-las, por força do que dispõe o art. 114, § 2º da CF. - Portanto, a questão não passa pelas normas de hierarquia normativa inferior porque o princípio está inserido na lei maior. - Todo dissídio coletivo que for decidido pelos Tribunais Regionais do Trabalho terá como limite as "disposições convencionais mínimas de proteção ao trabalho" já que se trata de comando normativo incondicionado emitido pela Constituição. VENCIDOS OS JUÍZES EMÍLIA FACCHINI E JOSÉ MIGUEL DE CAMPOS Julgado em 06-11-2003. DJ de 28-11-2003, pág. 002 Arquivo do EMFOR, TRT/N 6234 EMENTÁRIO FORENSE. Fevereiro, 2005. Ano LVII. Nº 675</w:t>
      </w:r>
    </w:p>
    <w:p/>
    <w:p>
      <w:pPr>
        <w:pStyle w:val="Heading2"/>
      </w:pPr>
      <w:r>
        <w:rPr>
          <w:b/>
          <w:bCs/>
        </w:rPr>
        <w:t xml:space="preserve">Ementa</w:t>
      </w:r>
    </w:p>
    <w:p>
      <w:r>
        <w:t xml:space="preserve">As cláusulas obtidas pela via da negociação coletiva incorporam-se ao contrato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2026-07-28T01:46:56.808Z</dcterms:created>
  <dcterms:modified xsi:type="dcterms:W3CDTF">2026-07-28T01:46:56.808Z</dcterms:modified>
</cp:coreProperties>
</file>

<file path=docProps/custom.xml><?xml version="1.0" encoding="utf-8"?>
<Properties xmlns="http://schemas.openxmlformats.org/officeDocument/2006/custom-properties" xmlns:vt="http://schemas.openxmlformats.org/officeDocument/2006/docPropsVTypes"/>
</file>