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7.998 DE 11-01-1990</w:t>
      </w:r>
    </w:p>
    <w:p/>
    <w:p>
      <w:r>
        <w:rPr>
          <w:b/>
          <w:bCs/>
        </w:rPr>
        <w:t xml:space="preserve">Julgado em: </w:t>
      </w:r>
      <w:r>
        <w:t xml:space="preserve">10/10/2000</w:t>
      </w:r>
    </w:p>
    <w:p/>
    <w:p>
      <w:r>
        <w:t xml:space="preserve">REQUISITOS — AFASTAMENTO DAS ATIVIDADES POR MAIS DE 15 DIAS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garantia do emprego por motivo de acidente de trabalho, prevista no art. 118 da Lei n.º 8.213/91, tem como pressupostos o gozo e a cessação do auxílio-doença acidentário, cujo benefício não foi usufruído pelo empregado acidentado, em face do afastamento do trabalho por período inferior a quinze dias. - Assim, não restando configurado o suporte fático de incidência do artigo 118 do referido diploma legal, mostrando-se válida e eficaz a despedida sem justa causa levada a efeito pelo empregador. Julgado em 11-10-2000 DJ de 04-12-2000 Arquivo do EMFOR, TRT/N 6292 EMENTÁRIO FORENSE. Fevereiro, 2005. Ano LVII. Nº 675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2026-07-28T06:24:35.755Z</dcterms:created>
  <dcterms:modified xsi:type="dcterms:W3CDTF">2026-07-28T06:24:35.755Z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